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300"/>
        <w:jc w:val="center"/>
      </w:pPr>
      <w:r>
        <w:rPr>
          <w:rFonts w:ascii="Calibri" w:cs="Calibri" w:eastAsia="Calibri" w:hAnsi="Calibri"/>
          <w:color w:val="94A3B8"/>
          <w:spacing w:val="200"/>
          <w:sz w:val="20"/>
          <w:szCs w:val="20"/>
        </w:rPr>
        <w:t xml:space="preserve">FORUM ON AI &amp; BIOTECH 2026</w:t>
      </w:r>
    </w:p>
    <w:p>
      <w:pPr>
        <w:spacing w:after="200"/>
        <w:jc w:val="center"/>
      </w:pPr>
      <w:r>
        <w:rPr>
          <w:rFonts w:ascii="Times New Roman" w:cs="Times New Roman" w:eastAsia="Times New Roman" w:hAnsi="Times New Roman"/>
          <w:b/>
          <w:bCs/>
          <w:color w:val="020617"/>
          <w:sz w:val="52"/>
          <w:szCs w:val="52"/>
        </w:rPr>
        <w:t xml:space="preserve">Privacy-Preserving AI Infrastructure</w:t>
      </w:r>
    </w:p>
    <w:p>
      <w:pPr>
        <w:spacing w:after="600"/>
        <w:jc w:val="center"/>
      </w:pPr>
      <w:r>
        <w:rPr>
          <w:rFonts w:ascii="Calibri" w:cs="Calibri" w:eastAsia="Calibri" w:hAnsi="Calibri"/>
          <w:color w:val="64748B"/>
          <w:sz w:val="26"/>
          <w:szCs w:val="26"/>
        </w:rPr>
        <w:t xml:space="preserve">A Federated Learning Toolkit for Cross-Institutional Collaboration
in Agriculture, Food, Pharma, and Healthcare</w:t>
      </w:r>
    </w:p>
    <w:p>
      <w:pPr>
        <w:spacing w:after="400"/>
        <w:jc w:val="center"/>
      </w:pPr>
      <w:r>
        <w:rPr>
          <w:rFonts w:ascii="Calibri" w:cs="Calibri" w:eastAsia="Calibri" w:hAnsi="Calibri"/>
          <w:color w:val="94A3B8"/>
          <w:sz w:val="20"/>
          <w:szCs w:val="20"/>
        </w:rPr>
        <w:t xml:space="preserve">────────────────────────────────────────</w:t>
      </w:r>
    </w:p>
    <w:p>
      <w:pPr>
        <w:spacing w:after="100"/>
        <w:jc w:val="center"/>
      </w:pPr>
      <w:r>
        <w:rPr>
          <w:rFonts w:ascii="Calibri" w:cs="Calibri" w:eastAsia="Calibri" w:hAnsi="Calibri"/>
          <w:b/>
          <w:bCs/>
          <w:color w:val="020617"/>
          <w:sz w:val="24"/>
          <w:szCs w:val="24"/>
        </w:rPr>
        <w:t xml:space="preserve">Application Guide</w:t>
      </w:r>
    </w:p>
    <w:p>
      <w:pPr>
        <w:spacing w:after="100"/>
        <w:jc w:val="center"/>
      </w:pPr>
      <w:r>
        <w:rPr>
          <w:rFonts w:ascii="Calibri" w:cs="Calibri" w:eastAsia="Calibri" w:hAnsi="Calibri"/>
          <w:color w:val="1E293B"/>
          <w:sz w:val="22"/>
          <w:szCs w:val="22"/>
        </w:rPr>
        <w:t xml:space="preserve">Prof. Dechang Xu</w:t>
      </w:r>
    </w:p>
    <w:p>
      <w:pPr>
        <w:spacing w:after="400"/>
        <w:jc w:val="center"/>
      </w:pPr>
      <w:r>
        <w:rPr>
          <w:rFonts w:ascii="Calibri" w:cs="Calibri" w:eastAsia="Calibri" w:hAnsi="Calibri"/>
          <w:color w:val="64748B"/>
          <w:sz w:val="20"/>
          <w:szCs w:val="20"/>
        </w:rPr>
        <w:t xml:space="preserve">Rongchuang College, Xi'an Jiaotong-Liverpool University</w:t>
      </w:r>
    </w:p>
    <w:p>
      <w:pPr>
        <w:jc w:val="center"/>
      </w:pPr>
      <w:r>
        <w:rPr>
          <w:rFonts w:ascii="Calibri" w:cs="Calibri" w:eastAsia="Calibri" w:hAnsi="Calibri"/>
          <w:color w:val="94A3B8"/>
          <w:sz w:val="20"/>
          <w:szCs w:val="20"/>
        </w:rPr>
        <w:t xml:space="preserve">May 2026</w:t>
      </w:r>
    </w:p>
    <w:p>
      <w:pPr>
        <w:sectPr>
          <w:pgSz w:w="11906" w:h="16838" w:orient="portrait"/>
          <w:pgMar w:top="0" w:right="0" w:bottom="0" w:left="0" w:header="708" w:footer="708" w:gutter="0"/>
          <w:pgNumType/>
          <w:titlePg/>
          <w:docGrid w:linePitch="360"/>
        </w:sectPr>
      </w:pPr>
    </w:p>
    <w:p>
      <w:pPr>
        <w:spacing w:after="300" w:before="200"/>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2</w:t>
          </w:r>
        </w:p>
        <w:p>
          <w:pPr>
            <w:pStyle w:val="11"/>
            <w:ind w:left="360"/>
            <w:tabs>
              <w:tab w:val="right" w:leader="dot" w:pos="9026"/>
            </w:tabs>
          </w:pPr>
          <w:r>
            <w:t>1.1 Core Design Principles</w:t>
          </w:r>
          <w:r>
            <w:tab/>
          </w:r>
          <w:r>
            <w:t>2</w:t>
          </w:r>
        </w:p>
        <w:p>
          <w:pPr>
            <w:pStyle w:val="9"/>
            <w:tabs>
              <w:tab w:val="right" w:leader="dot" w:pos="9026"/>
            </w:tabs>
          </w:pPr>
          <w:r>
            <w:t>2. Technical Architecture</w:t>
          </w:r>
          <w:r>
            <w:tab/>
          </w:r>
          <w:r>
            <w:t>3</w:t>
          </w:r>
        </w:p>
        <w:p>
          <w:pPr>
            <w:pStyle w:val="11"/>
            <w:ind w:left="360"/>
            <w:tabs>
              <w:tab w:val="right" w:leader="dot" w:pos="9026"/>
            </w:tabs>
          </w:pPr>
          <w:r>
            <w:t>2.1 System Overview</w:t>
          </w:r>
          <w:r>
            <w:tab/>
          </w:r>
          <w:r>
            <w:t>3</w:t>
          </w:r>
        </w:p>
        <w:p>
          <w:pPr>
            <w:pStyle w:val="11"/>
            <w:ind w:left="360"/>
            <w:tabs>
              <w:tab w:val="right" w:leader="dot" w:pos="9026"/>
            </w:tabs>
          </w:pPr>
          <w:r>
            <w:t>2.2 Proven Track Record</w:t>
          </w:r>
          <w:r>
            <w:tab/>
          </w:r>
          <w:r>
            <w:t>4</w:t>
          </w:r>
        </w:p>
        <w:p>
          <w:pPr>
            <w:pStyle w:val="9"/>
            <w:tabs>
              <w:tab w:val="right" w:leader="dot" w:pos="9026"/>
            </w:tabs>
          </w:pPr>
          <w:r>
            <w:t>3. Application to Precision Agriculture</w:t>
          </w:r>
          <w:r>
            <w:tab/>
          </w:r>
          <w:r>
            <w:t>5</w:t>
          </w:r>
        </w:p>
        <w:p>
          <w:pPr>
            <w:pStyle w:val="11"/>
            <w:ind w:left="360"/>
            <w:tabs>
              <w:tab w:val="right" w:leader="dot" w:pos="9026"/>
            </w:tabs>
          </w:pPr>
          <w:r>
            <w:t>3.1 Scenario: Multi-Farm Collaborative Yield Prediction</w:t>
          </w:r>
          <w:r>
            <w:tab/>
          </w:r>
          <w:r>
            <w:t>5</w:t>
          </w:r>
        </w:p>
        <w:p>
          <w:pPr>
            <w:pStyle w:val="11"/>
            <w:ind w:left="360"/>
            <w:tabs>
              <w:tab w:val="right" w:leader="dot" w:pos="9026"/>
            </w:tabs>
          </w:pPr>
          <w:r>
            <w:t>3.2 YOLO Transfer: From Mural Defects to Crop Pests</w:t>
          </w:r>
          <w:r>
            <w:tab/>
          </w:r>
          <w:r>
            <w:t>5</w:t>
          </w:r>
        </w:p>
        <w:p>
          <w:pPr>
            <w:pStyle w:val="11"/>
            <w:ind w:left="360"/>
            <w:tabs>
              <w:tab w:val="right" w:leader="dot" w:pos="9026"/>
            </w:tabs>
          </w:pPr>
          <w:r>
            <w:t>3.3 HNSW for Similar-Field Retrieval</w:t>
          </w:r>
          <w:r>
            <w:tab/>
          </w:r>
          <w:r>
            <w:t>6</w:t>
          </w:r>
        </w:p>
        <w:p>
          <w:pPr>
            <w:pStyle w:val="11"/>
            <w:ind w:left="360"/>
            <w:tabs>
              <w:tab w:val="right" w:leader="dot" w:pos="9026"/>
            </w:tabs>
          </w:pPr>
          <w:r>
            <w:t>3.4 Workflow Example</w:t>
          </w:r>
          <w:r>
            <w:tab/>
          </w:r>
          <w:r>
            <w:t>6</w:t>
          </w:r>
        </w:p>
        <w:p>
          <w:pPr>
            <w:pStyle w:val="11"/>
            <w:ind w:left="360"/>
            <w:tabs>
              <w:tab w:val="right" w:leader="dot" w:pos="9026"/>
            </w:tabs>
          </w:pPr>
          <w:r>
            <w:t>3.5 Expected Benefits</w:t>
          </w:r>
          <w:r>
            <w:tab/>
          </w:r>
          <w:r>
            <w:t>6</w:t>
          </w:r>
        </w:p>
        <w:p>
          <w:pPr>
            <w:pStyle w:val="9"/>
            <w:tabs>
              <w:tab w:val="right" w:leader="dot" w:pos="9026"/>
            </w:tabs>
          </w:pPr>
          <w:r>
            <w:t>4. Application to Food Technology &amp; Safety</w:t>
          </w:r>
          <w:r>
            <w:tab/>
          </w:r>
          <w:r>
            <w:t>7</w:t>
          </w:r>
        </w:p>
        <w:p>
          <w:pPr>
            <w:pStyle w:val="11"/>
            <w:ind w:left="360"/>
            <w:tabs>
              <w:tab w:val="right" w:leader="dot" w:pos="9026"/>
            </w:tabs>
          </w:pPr>
          <w:r>
            <w:t>4.1 Scenario: Cross-Enterprise Food Safety Modeling</w:t>
          </w:r>
          <w:r>
            <w:tab/>
          </w:r>
          <w:r>
            <w:t>7</w:t>
          </w:r>
        </w:p>
        <w:p>
          <w:pPr>
            <w:pStyle w:val="11"/>
            <w:ind w:left="360"/>
            <w:tabs>
              <w:tab w:val="right" w:leader="dot" w:pos="9026"/>
            </w:tabs>
          </w:pPr>
          <w:r>
            <w:t>4.2 Blockchain Audit Chain for Supply Chain Traceability</w:t>
          </w:r>
          <w:r>
            <w:tab/>
          </w:r>
          <w:r>
            <w:t>7</w:t>
          </w:r>
        </w:p>
        <w:p>
          <w:pPr>
            <w:pStyle w:val="11"/>
            <w:ind w:left="360"/>
            <w:tabs>
              <w:tab w:val="right" w:leader="dot" w:pos="9026"/>
            </w:tabs>
          </w:pPr>
          <w:r>
            <w:t>4.3 Data Anonymization for Collaborative Optimization</w:t>
          </w:r>
          <w:r>
            <w:tab/>
          </w:r>
          <w:r>
            <w:t>8</w:t>
          </w:r>
        </w:p>
        <w:p>
          <w:pPr>
            <w:pStyle w:val="11"/>
            <w:ind w:left="360"/>
            <w:tabs>
              <w:tab w:val="right" w:leader="dot" w:pos="9026"/>
            </w:tabs>
          </w:pPr>
          <w:r>
            <w:t>4.4 Knowledge Hub for Regulatory Compliance</w:t>
          </w:r>
          <w:r>
            <w:tab/>
          </w:r>
          <w:r>
            <w:t>8</w:t>
          </w:r>
        </w:p>
        <w:p>
          <w:pPr>
            <w:pStyle w:val="11"/>
            <w:ind w:left="360"/>
            <w:tabs>
              <w:tab w:val="right" w:leader="dot" w:pos="9026"/>
            </w:tabs>
          </w:pPr>
          <w:r>
            <w:t>4.5 Expected Benefits</w:t>
          </w:r>
          <w:r>
            <w:tab/>
          </w:r>
          <w:r>
            <w:t>8</w:t>
          </w:r>
        </w:p>
        <w:p>
          <w:pPr>
            <w:pStyle w:val="9"/>
            <w:tabs>
              <w:tab w:val="right" w:leader="dot" w:pos="9026"/>
            </w:tabs>
          </w:pPr>
          <w:r>
            <w:t>5. Application to Drug Discovery &amp; Clinical Research</w:t>
          </w:r>
          <w:r>
            <w:tab/>
          </w:r>
          <w:r>
            <w:t>9</w:t>
          </w:r>
        </w:p>
        <w:p>
          <w:pPr>
            <w:pStyle w:val="11"/>
            <w:ind w:left="360"/>
            <w:tabs>
              <w:tab w:val="right" w:leader="dot" w:pos="9026"/>
            </w:tabs>
          </w:pPr>
          <w:r>
            <w:t>5.1 Scenario: Multi-Center Clinical Data Analysis</w:t>
          </w:r>
          <w:r>
            <w:tab/>
          </w:r>
          <w:r>
            <w:t>9</w:t>
          </w:r>
        </w:p>
        <w:p>
          <w:pPr>
            <w:pStyle w:val="11"/>
            <w:ind w:left="360"/>
            <w:tabs>
              <w:tab w:val="right" w:leader="dot" w:pos="9026"/>
            </w:tabs>
          </w:pPr>
          <w:r>
            <w:t>5.2 Bayesian Optimization for Molecular Parameter Search</w:t>
          </w:r>
          <w:r>
            <w:tab/>
          </w:r>
          <w:r>
            <w:t>9</w:t>
          </w:r>
        </w:p>
        <w:p>
          <w:pPr>
            <w:pStyle w:val="11"/>
            <w:ind w:left="360"/>
            <w:tabs>
              <w:tab w:val="right" w:leader="dot" w:pos="9026"/>
            </w:tabs>
          </w:pPr>
          <w:r>
            <w:t>5.3 Differential Privacy for Clinical Trials</w:t>
          </w:r>
          <w:r>
            <w:tab/>
          </w:r>
          <w:r>
            <w:t>10</w:t>
          </w:r>
        </w:p>
        <w:p>
          <w:pPr>
            <w:pStyle w:val="11"/>
            <w:ind w:left="360"/>
            <w:tabs>
              <w:tab w:val="right" w:leader="dot" w:pos="9026"/>
            </w:tabs>
          </w:pPr>
          <w:r>
            <w:t>5.4 Regulatory Compliance via Audit Chain</w:t>
          </w:r>
          <w:r>
            <w:tab/>
          </w:r>
          <w:r>
            <w:t>10</w:t>
          </w:r>
        </w:p>
        <w:p>
          <w:pPr>
            <w:pStyle w:val="11"/>
            <w:ind w:left="360"/>
            <w:tabs>
              <w:tab w:val="right" w:leader="dot" w:pos="9026"/>
            </w:tabs>
          </w:pPr>
          <w:r>
            <w:t>5.5 Workflow Example</w:t>
          </w:r>
          <w:r>
            <w:tab/>
          </w:r>
          <w:r>
            <w:t>10</w:t>
          </w:r>
        </w:p>
        <w:p>
          <w:pPr>
            <w:pStyle w:val="11"/>
            <w:ind w:left="360"/>
            <w:tabs>
              <w:tab w:val="right" w:leader="dot" w:pos="9026"/>
            </w:tabs>
          </w:pPr>
          <w:r>
            <w:t>5.6 Expected Benefits</w:t>
          </w:r>
          <w:r>
            <w:tab/>
          </w:r>
          <w:r>
            <w:t>10</w:t>
          </w:r>
        </w:p>
        <w:p>
          <w:pPr>
            <w:pStyle w:val="9"/>
            <w:tabs>
              <w:tab w:val="right" w:leader="dot" w:pos="9026"/>
            </w:tabs>
          </w:pPr>
          <w:r>
            <w:t>6. Application to Smart Healthcare</w:t>
          </w:r>
          <w:r>
            <w:tab/>
          </w:r>
          <w:r>
            <w:t>11</w:t>
          </w:r>
        </w:p>
        <w:p>
          <w:pPr>
            <w:pStyle w:val="11"/>
            <w:ind w:left="360"/>
            <w:tabs>
              <w:tab w:val="right" w:leader="dot" w:pos="9026"/>
            </w:tabs>
          </w:pPr>
          <w:r>
            <w:t>6.1 Scenario: Privacy-Preserving Telemedicine Network</w:t>
          </w:r>
          <w:r>
            <w:tab/>
          </w:r>
          <w:r>
            <w:t>11</w:t>
          </w:r>
        </w:p>
        <w:p>
          <w:pPr>
            <w:pStyle w:val="11"/>
            <w:ind w:left="360"/>
            <w:tabs>
              <w:tab w:val="right" w:leader="dot" w:pos="9026"/>
            </w:tabs>
          </w:pPr>
          <w:r>
            <w:t>6.2 Telemedicine Session Audit</w:t>
          </w:r>
          <w:r>
            <w:tab/>
          </w:r>
          <w:r>
            <w:t>11</w:t>
          </w:r>
        </w:p>
        <w:p>
          <w:pPr>
            <w:pStyle w:val="11"/>
            <w:ind w:left="360"/>
            <w:tabs>
              <w:tab w:val="right" w:leader="dot" w:pos="9026"/>
            </w:tabs>
          </w:pPr>
          <w:r>
            <w:t>6.3 HNSW for Similar-Patient Retrieval</w:t>
          </w:r>
          <w:r>
            <w:tab/>
          </w:r>
          <w:r>
            <w:t>12</w:t>
          </w:r>
        </w:p>
        <w:p>
          <w:pPr>
            <w:pStyle w:val="11"/>
            <w:ind w:left="360"/>
            <w:tabs>
              <w:tab w:val="right" w:leader="dot" w:pos="9026"/>
            </w:tabs>
          </w:pPr>
          <w:r>
            <w:t>6.4 Knowledge Hub for Clinical Decision Support</w:t>
          </w:r>
          <w:r>
            <w:tab/>
          </w:r>
          <w:r>
            <w:t>12</w:t>
          </w:r>
        </w:p>
        <w:p>
          <w:pPr>
            <w:pStyle w:val="11"/>
            <w:ind w:left="360"/>
            <w:tabs>
              <w:tab w:val="right" w:leader="dot" w:pos="9026"/>
            </w:tabs>
          </w:pPr>
          <w:r>
            <w:t>6.5 Expected Benefits</w:t>
          </w:r>
          <w:r>
            <w:tab/>
          </w:r>
          <w:r>
            <w:t>12</w:t>
          </w:r>
        </w:p>
        <w:p>
          <w:pPr>
            <w:pStyle w:val="9"/>
            <w:tabs>
              <w:tab w:val="right" w:leader="dot" w:pos="9026"/>
            </w:tabs>
          </w:pPr>
          <w:r>
            <w:t>7. Deployment &amp; Integration</w:t>
          </w:r>
          <w:r>
            <w:tab/>
          </w:r>
          <w:r>
            <w:t>13</w:t>
          </w:r>
        </w:p>
        <w:p>
          <w:pPr>
            <w:pStyle w:val="11"/>
            <w:ind w:left="360"/>
            <w:tabs>
              <w:tab w:val="right" w:leader="dot" w:pos="9026"/>
            </w:tabs>
          </w:pPr>
          <w:r>
            <w:t>7.1 Streamlit Cloud Deployment</w:t>
          </w:r>
          <w:r>
            <w:tab/>
          </w:r>
          <w:r>
            <w:t>13</w:t>
          </w:r>
        </w:p>
        <w:p>
          <w:pPr>
            <w:pStyle w:val="11"/>
            <w:ind w:left="360"/>
            <w:tabs>
              <w:tab w:val="right" w:leader="dot" w:pos="9026"/>
            </w:tabs>
          </w:pPr>
          <w:r>
            <w:t>7.2 gRPC API Integration</w:t>
          </w:r>
          <w:r>
            <w:tab/>
          </w:r>
          <w:r>
            <w:t>13</w:t>
          </w:r>
        </w:p>
        <w:p>
          <w:pPr>
            <w:pStyle w:val="11"/>
            <w:ind w:left="360"/>
            <w:tabs>
              <w:tab w:val="right" w:leader="dot" w:pos="9026"/>
            </w:tabs>
          </w:pPr>
          <w:r>
            <w:t>7.3 Scalability Considerations</w:t>
          </w:r>
          <w:r>
            <w:tab/>
          </w:r>
          <w:r>
            <w:t>13</w:t>
          </w:r>
        </w:p>
        <w:p>
          <w:pPr>
            <w:pStyle w:val="9"/>
            <w:tabs>
              <w:tab w:val="right" w:leader="dot" w:pos="9026"/>
            </w:tabs>
          </w:pPr>
          <w:r>
            <w:t>8. Conclusion &amp; Future Directions</w:t>
          </w:r>
          <w:r>
            <w:tab/>
          </w:r>
          <w:r>
            <w:t>14</w:t>
          </w:r>
        </w:p>
        <w:p>
          <w:pPr>
            <w:pStyle w:val="11"/>
            <w:ind w:left="360"/>
            <w:tabs>
              <w:tab w:val="right" w:leader="dot" w:pos="9026"/>
            </w:tabs>
          </w:pPr>
          <w:r>
            <w:t>8.1 Planned Extensions</w:t>
          </w:r>
          <w:r>
            <w:tab/>
          </w:r>
          <w:r>
            <w:t>14</w:t>
          </w:r>
        </w:p>
        <w:p>
          <w:pPr>
            <w:pStyle w:val="11"/>
            <w:ind w:left="360"/>
            <w:tabs>
              <w:tab w:val="right" w:leader="dot" w:pos="9026"/>
            </w:tabs>
          </w:pPr>
          <w:r>
            <w:t>8.2 Call for Collaboration</w:t>
          </w:r>
          <w:r>
            <w:tab/>
          </w:r>
          <w:r>
            <w:t>14</w:t>
          </w:r>
        </w:p>
        <w:p>
          <w:r>
            <w:fldChar w:fldCharType="end"/>
          </w:r>
        </w:p>
      </w:sdtContent>
    </w:sdt>
    <w:p>
      <w:pPr>
        <w:spacing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pPr>
      <w:r>
        <w:t xml:space="preserve">1. Introduction</w:t>
      </w:r>
    </w:p>
    <w:p>
      <w:pPr>
        <w:spacing w:after="120" w:line="276"/>
        <w:jc w:val="left"/>
      </w:pPr>
      <w:r>
        <w:rPr>
          <w:rFonts w:ascii="Calibri" w:cs="Calibri" w:eastAsia="Calibri" w:hAnsi="Calibri"/>
          <w:color w:val="1E293B"/>
          <w:sz w:val="22"/>
          <w:szCs w:val="22"/>
        </w:rPr>
        <w:t xml:space="preserve">In agriculture, food technology, pharmaceutical research, and healthcare, the most valuable asset is data—soil composition profiles, proprietary food formulations, patient medical records, and clinical trial results. These datasets are critical for training accurate AI models, yet they are also highly sensitive, commercially valuable, and legally protected.</w:t>
      </w:r>
    </w:p>
    <w:p>
      <w:pPr>
        <w:spacing w:after="120" w:line="276"/>
        <w:jc w:val="left"/>
      </w:pPr>
      <w:r>
        <w:rPr>
          <w:rFonts w:ascii="Calibri" w:cs="Calibri" w:eastAsia="Calibri" w:hAnsi="Calibri"/>
          <w:color w:val="1E293B"/>
          <w:sz w:val="22"/>
          <w:szCs w:val="22"/>
        </w:rPr>
        <w:t xml:space="preserve">The fundamental challenge is clear: how can institutions collaborate to build better AI models without exposing their raw data? Traditional approaches require centralizing data, which creates unacceptable privacy, legal, and competitive risks. Federated Learning (FL) offers an elegant solution—institutions train models locally on their own data and share only model updates (gradients or parameters), never the underlying data.</w:t>
      </w:r>
    </w:p>
    <w:p>
      <w:pPr>
        <w:spacing w:after="120" w:line="276"/>
        <w:jc w:val="left"/>
      </w:pPr>
      <w:r>
        <w:rPr>
          <w:rFonts w:ascii="Calibri" w:cs="Calibri" w:eastAsia="Calibri" w:hAnsi="Calibri"/>
          <w:color w:val="1E293B"/>
          <w:sz w:val="22"/>
          <w:szCs w:val="22"/>
        </w:rPr>
        <w:t xml:space="preserve">This application guide presents a reusable, privacy-preserving AI infrastructure built by Prof. Dechang Xu at XJTLU. The toolkit has been validated across multiple domains—organoid research (99.17% accuracy), embodied intelligence (+3.2% aggregation boost), cultural heritage preservation, and three-way catalyst optimization—and is now positioned for cross-institutional deployment in agriculture, food safety, drug discovery, and smart healthcare.</w:t>
      </w:r>
    </w:p>
    <w:p>
      <w:pPr>
        <w:pStyle w:val="Heading3"/>
        <w:spacing w:after="120" w:before="240" w:line="276"/>
      </w:pPr>
      <w:r>
        <w:rPr>
          <w:rFonts w:ascii="Times New Roman" w:cs="Times New Roman" w:eastAsia="Times New Roman" w:hAnsi="Times New Roman"/>
          <w:b/>
          <w:bCs/>
          <w:color w:val="1E3A5F"/>
          <w:sz w:val="24"/>
          <w:szCs w:val="24"/>
        </w:rPr>
        <w:t xml:space="preserve">1.1 Core Design Principles</w:t>
      </w:r>
    </w:p>
    <w:p>
      <w:pPr>
        <w:pStyle w:val="ListParagraph"/>
        <w:numPr>
          <w:ilvl w:val="0"/>
          <w:numId w:val="2"/>
        </w:numPr>
        <w:spacing w:after="60" w:line="276"/>
      </w:pPr>
      <w:r>
        <w:rPr>
          <w:rFonts w:ascii="Calibri" w:cs="Calibri" w:eastAsia="Calibri" w:hAnsi="Calibri"/>
          <w:color w:val="1E293B"/>
          <w:sz w:val="22"/>
          <w:szCs w:val="22"/>
        </w:rPr>
        <w:t xml:space="preserve">Data Never Leaves the Institution: Raw data remains on local servers; only model updates are shared via FedAvg aggregation.</w:t>
      </w:r>
    </w:p>
    <w:p>
      <w:pPr>
        <w:pStyle w:val="ListParagraph"/>
        <w:numPr>
          <w:ilvl w:val="0"/>
          <w:numId w:val="2"/>
        </w:numPr>
        <w:spacing w:after="60" w:line="276"/>
      </w:pPr>
      <w:r>
        <w:rPr>
          <w:rFonts w:ascii="Calibri" w:cs="Calibri" w:eastAsia="Calibri" w:hAnsi="Calibri"/>
          <w:color w:val="1E293B"/>
          <w:sz w:val="22"/>
          <w:szCs w:val="22"/>
        </w:rPr>
        <w:t xml:space="preserve">Dual Privacy Protection: Differential Privacy (Laplace mechanism) on model updates ensures individual records cannot be inferred.</w:t>
      </w:r>
    </w:p>
    <w:p>
      <w:pPr>
        <w:pStyle w:val="ListParagraph"/>
        <w:numPr>
          <w:ilvl w:val="0"/>
          <w:numId w:val="2"/>
        </w:numPr>
        <w:spacing w:after="60" w:line="276"/>
      </w:pPr>
      <w:r>
        <w:rPr>
          <w:rFonts w:ascii="Calibri" w:cs="Calibri" w:eastAsia="Calibri" w:hAnsi="Calibri"/>
          <w:color w:val="1E293B"/>
          <w:sz w:val="22"/>
          <w:szCs w:val="22"/>
        </w:rPr>
        <w:t xml:space="preserve">Tamper-Proof Audit Trail: SHA-256 blockchain hash chain records every operation for regulatory compliance.</w:t>
      </w:r>
    </w:p>
    <w:p>
      <w:pPr>
        <w:pStyle w:val="ListParagraph"/>
        <w:numPr>
          <w:ilvl w:val="0"/>
          <w:numId w:val="2"/>
        </w:numPr>
        <w:spacing w:after="60" w:line="276"/>
      </w:pPr>
      <w:r>
        <w:rPr>
          <w:rFonts w:ascii="Calibri" w:cs="Calibri" w:eastAsia="Calibri" w:hAnsi="Calibri"/>
          <w:color w:val="1E293B"/>
          <w:sz w:val="22"/>
          <w:szCs w:val="22"/>
        </w:rPr>
        <w:t xml:space="preserve">Knowledge Retrieval: HNSW vector search enables cross-institutional similarity queries without exposing source data.</w:t>
      </w:r>
    </w:p>
    <w:p>
      <w:pPr>
        <w:pStyle w:val="ListParagraph"/>
        <w:numPr>
          <w:ilvl w:val="0"/>
          <w:numId w:val="2"/>
        </w:numPr>
        <w:spacing w:after="60" w:line="276"/>
      </w:pPr>
      <w:r>
        <w:rPr>
          <w:rFonts w:ascii="Calibri" w:cs="Calibri" w:eastAsia="Calibri" w:hAnsi="Calibri"/>
          <w:color w:val="1E293B"/>
          <w:sz w:val="22"/>
          <w:szCs w:val="22"/>
        </w:rPr>
        <w:t xml:space="preserve">Pure NumPy Implementation: No PyTorch/TensorFlow dependency, ensuring lightweight deployment on Streamlit Cloud.</w:t>
      </w:r>
    </w:p>
    <w:p>
      <w:pPr>
        <w:pStyle w:val="Heading1"/>
      </w:pPr>
      <w:r>
        <w:t xml:space="preserve">2. Technical Architecture</w:t>
      </w:r>
    </w:p>
    <w:p>
      <w:pPr>
        <w:pStyle w:val="Heading3"/>
        <w:spacing w:after="120" w:before="240" w:line="276"/>
      </w:pPr>
      <w:r>
        <w:rPr>
          <w:rFonts w:ascii="Times New Roman" w:cs="Times New Roman" w:eastAsia="Times New Roman" w:hAnsi="Times New Roman"/>
          <w:b/>
          <w:bCs/>
          <w:color w:val="1E3A5F"/>
          <w:sz w:val="24"/>
          <w:szCs w:val="24"/>
        </w:rPr>
        <w:t xml:space="preserve">2.1 System Overview</w:t>
      </w:r>
    </w:p>
    <w:p>
      <w:pPr>
        <w:spacing w:after="120" w:line="276"/>
        <w:jc w:val="left"/>
      </w:pPr>
      <w:r>
        <w:rPr>
          <w:rFonts w:ascii="Calibri" w:cs="Calibri" w:eastAsia="Calibri" w:hAnsi="Calibri"/>
          <w:color w:val="1E293B"/>
          <w:sz w:val="22"/>
          <w:szCs w:val="22"/>
        </w:rPr>
        <w:t xml:space="preserve">The toolkit follows a modular architecture where core components can be composed independently or combined into domain-specific solutions. The Shared Backbone + Local Head pattern is the unifying design: a common feature extractor (shared across institutions) with domain-specific prediction heads (kept local).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2200"/>
        <w:gridCol w:w="4760"/>
      </w:tblGrid>
      <w:tr>
        <w:trPr>
          <w:tblHeader/>
        </w:trPr>
        <w:tc>
          <w:tcPr>
            <w:tcW w:type="dxa" w:w="2400"/>
            <w:tcBorders>
              <w:top w:val="single" w:color="94A3B8" w:sz="1"/>
              <w:left w:val="single" w:color="94A3B8" w:sz="1"/>
              <w:bottom w:val="single" w:color="94A3B8" w:sz="1"/>
              <w:right w:val="single" w:color="94A3B8" w:sz="1"/>
            </w:tcBorders>
            <w:shd w:fill="020617" w:val="clear"/>
            <w:vAlign w:val="center"/>
          </w:tcPr>
          <w:p>
            <w:pPr>
              <w:spacing w:after="40" w:before="40"/>
              <w:jc w:val="center"/>
            </w:pPr>
            <w:r>
              <w:rPr>
                <w:rFonts w:ascii="Calibri" w:cs="Calibri" w:eastAsia="Calibri" w:hAnsi="Calibri"/>
                <w:b/>
                <w:bCs/>
                <w:color w:val="FFFFFF"/>
                <w:sz w:val="20"/>
                <w:szCs w:val="20"/>
              </w:rPr>
              <w:t xml:space="preserve">Component</w:t>
            </w:r>
          </w:p>
        </w:tc>
        <w:tc>
          <w:tcPr>
            <w:tcW w:type="dxa" w:w="2200"/>
            <w:tcBorders>
              <w:top w:val="single" w:color="94A3B8" w:sz="1"/>
              <w:left w:val="single" w:color="94A3B8" w:sz="1"/>
              <w:bottom w:val="single" w:color="94A3B8" w:sz="1"/>
              <w:right w:val="single" w:color="94A3B8" w:sz="1"/>
            </w:tcBorders>
            <w:shd w:fill="020617" w:val="clear"/>
            <w:vAlign w:val="center"/>
          </w:tcPr>
          <w:p>
            <w:pPr>
              <w:spacing w:after="40" w:before="40"/>
              <w:jc w:val="center"/>
            </w:pPr>
            <w:r>
              <w:rPr>
                <w:rFonts w:ascii="Calibri" w:cs="Calibri" w:eastAsia="Calibri" w:hAnsi="Calibri"/>
                <w:b/>
                <w:bCs/>
                <w:color w:val="FFFFFF"/>
                <w:sz w:val="20"/>
                <w:szCs w:val="20"/>
              </w:rPr>
              <w:t xml:space="preserve">Technology</w:t>
            </w:r>
          </w:p>
        </w:tc>
        <w:tc>
          <w:tcPr>
            <w:tcW w:type="dxa" w:w="4760"/>
            <w:tcBorders>
              <w:top w:val="single" w:color="94A3B8" w:sz="1"/>
              <w:left w:val="single" w:color="94A3B8" w:sz="1"/>
              <w:bottom w:val="single" w:color="94A3B8" w:sz="1"/>
              <w:right w:val="single" w:color="94A3B8" w:sz="1"/>
            </w:tcBorders>
            <w:shd w:fill="020617" w:val="clear"/>
            <w:vAlign w:val="center"/>
          </w:tcPr>
          <w:p>
            <w:pPr>
              <w:spacing w:after="40" w:before="40"/>
              <w:jc w:val="center"/>
            </w:pPr>
            <w:r>
              <w:rPr>
                <w:rFonts w:ascii="Calibri" w:cs="Calibri" w:eastAsia="Calibri" w:hAnsi="Calibri"/>
                <w:b/>
                <w:bCs/>
                <w:color w:val="FFFFFF"/>
                <w:sz w:val="20"/>
                <w:szCs w:val="20"/>
              </w:rPr>
              <w:t xml:space="preserve">Role</w:t>
            </w:r>
          </w:p>
        </w:tc>
      </w:tr>
      <w:tr>
        <w:tc>
          <w:tcPr>
            <w:tcW w:type="dxa" w:w="24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FedAvg Engine</w:t>
            </w:r>
          </w:p>
        </w:tc>
        <w:tc>
          <w:tcPr>
            <w:tcW w:type="dxa" w:w="22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Python + NumPy</w:t>
            </w:r>
          </w:p>
        </w:tc>
        <w:tc>
          <w:tcPr>
            <w:tcW w:type="dxa" w:w="476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Distributed model training without data sharing</w:t>
            </w:r>
          </w:p>
        </w:tc>
      </w:tr>
      <w:tr>
        <w:tc>
          <w:tcPr>
            <w:tcW w:type="dxa" w:w="24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Differential Privacy</w:t>
            </w:r>
          </w:p>
        </w:tc>
        <w:tc>
          <w:tcPr>
            <w:tcW w:type="dxa" w:w="22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Laplace Mechanism</w:t>
            </w:r>
          </w:p>
        </w:tc>
        <w:tc>
          <w:tcPr>
            <w:tcW w:type="dxa" w:w="476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Configurable ε budget for privacy guarantee</w:t>
            </w:r>
          </w:p>
        </w:tc>
      </w:tr>
      <w:tr>
        <w:tc>
          <w:tcPr>
            <w:tcW w:type="dxa" w:w="24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Audit Chain</w:t>
            </w:r>
          </w:p>
        </w:tc>
        <w:tc>
          <w:tcPr>
            <w:tcW w:type="dxa" w:w="22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SHA-256 Hash Chain</w:t>
            </w:r>
          </w:p>
        </w:tc>
        <w:tc>
          <w:tcPr>
            <w:tcW w:type="dxa" w:w="476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Tamper-proof operation logging &amp; verification</w:t>
            </w:r>
          </w:p>
        </w:tc>
      </w:tr>
      <w:tr>
        <w:tc>
          <w:tcPr>
            <w:tcW w:type="dxa" w:w="24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HNSW Search</w:t>
            </w:r>
          </w:p>
        </w:tc>
        <w:tc>
          <w:tcPr>
            <w:tcW w:type="dxa" w:w="22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Rust (const generic)</w:t>
            </w:r>
          </w:p>
        </w:tc>
        <w:tc>
          <w:tcPr>
            <w:tcW w:type="dxa" w:w="476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Fast approximate nearest-neighbor retrieval</w:t>
            </w:r>
          </w:p>
        </w:tc>
      </w:tr>
      <w:tr>
        <w:tc>
          <w:tcPr>
            <w:tcW w:type="dxa" w:w="24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Bayesian Optimizer</w:t>
            </w:r>
          </w:p>
        </w:tc>
        <w:tc>
          <w:tcPr>
            <w:tcW w:type="dxa" w:w="22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GP + EI (NumPy)</w:t>
            </w:r>
          </w:p>
        </w:tc>
        <w:tc>
          <w:tcPr>
            <w:tcW w:type="dxa" w:w="476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Sample-efficient hyperparameter search</w:t>
            </w:r>
          </w:p>
        </w:tc>
      </w:tr>
      <w:tr>
        <w:tc>
          <w:tcPr>
            <w:tcW w:type="dxa" w:w="24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Data Vault</w:t>
            </w:r>
          </w:p>
        </w:tc>
        <w:tc>
          <w:tcPr>
            <w:tcW w:type="dxa" w:w="22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SQLite + Pandas</w:t>
            </w:r>
          </w:p>
        </w:tc>
        <w:tc>
          <w:tcPr>
            <w:tcW w:type="dxa" w:w="476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Secure data management with anonymization</w:t>
            </w:r>
          </w:p>
        </w:tc>
      </w:tr>
      <w:tr>
        <w:tc>
          <w:tcPr>
            <w:tcW w:type="dxa" w:w="24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Knowledge Hub</w:t>
            </w:r>
          </w:p>
        </w:tc>
        <w:tc>
          <w:tcPr>
            <w:tcW w:type="dxa" w:w="22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Semantic Search</w:t>
            </w:r>
          </w:p>
        </w:tc>
        <w:tc>
          <w:tcPr>
            <w:tcW w:type="dxa" w:w="476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Domain FAQ &amp; literature recommendation</w:t>
            </w:r>
          </w:p>
        </w:tc>
      </w:tr>
      <w:tr>
        <w:tc>
          <w:tcPr>
            <w:tcW w:type="dxa" w:w="24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Object Detection</w:t>
            </w:r>
          </w:p>
        </w:tc>
        <w:tc>
          <w:tcPr>
            <w:tcW w:type="dxa" w:w="22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YOLO + DINOv2</w:t>
            </w:r>
          </w:p>
        </w:tc>
        <w:tc>
          <w:tcPr>
            <w:tcW w:type="dxa" w:w="476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Multi-class visual detection &amp; classification</w:t>
            </w:r>
          </w:p>
        </w:tc>
      </w:tr>
      <w:tr>
        <w:tc>
          <w:tcPr>
            <w:tcW w:type="dxa" w:w="24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Medical Imaging</w:t>
            </w:r>
          </w:p>
        </w:tc>
        <w:tc>
          <w:tcPr>
            <w:tcW w:type="dxa" w:w="220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ViT + MAE</w:t>
            </w:r>
          </w:p>
        </w:tc>
        <w:tc>
          <w:tcPr>
            <w:tcW w:type="dxa" w:w="4760"/>
            <w:tcBorders>
              <w:top w:val="single" w:color="94A3B8" w:sz="1"/>
              <w:left w:val="single" w:color="94A3B8" w:sz="1"/>
              <w:bottom w:val="single" w:color="94A3B8" w:sz="1"/>
              <w:right w:val="single" w:color="94A3B8" w:sz="1"/>
            </w:tcBorders>
            <w:vAlign w:val="center"/>
          </w:tcPr>
          <w:p>
            <w:pPr>
              <w:spacing w:after="40" w:before="40"/>
              <w:jc w:val="center"/>
            </w:pPr>
            <w:r>
              <w:rPr>
                <w:rFonts w:ascii="Calibri" w:cs="Calibri" w:eastAsia="Calibri" w:hAnsi="Calibri"/>
                <w:b w:val="false"/>
                <w:bCs w:val="false"/>
                <w:color w:val="1E293B"/>
                <w:sz w:val="20"/>
                <w:szCs w:val="20"/>
              </w:rPr>
              <w:t xml:space="preserve">Self-supervised pretraining for medical images</w:t>
            </w:r>
          </w:p>
        </w:tc>
      </w:tr>
      <w:tr>
        <w:tc>
          <w:tcPr>
            <w:tcW w:type="dxa" w:w="24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Backend</w:t>
            </w:r>
          </w:p>
        </w:tc>
        <w:tc>
          <w:tcPr>
            <w:tcW w:type="dxa" w:w="220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Rust + gRPC</w:t>
            </w:r>
          </w:p>
        </w:tc>
        <w:tc>
          <w:tcPr>
            <w:tcW w:type="dxa" w:w="4760"/>
            <w:tcBorders>
              <w:top w:val="single" w:color="94A3B8" w:sz="1"/>
              <w:left w:val="single" w:color="94A3B8" w:sz="1"/>
              <w:bottom w:val="single" w:color="94A3B8" w:sz="1"/>
              <w:right w:val="single" w:color="94A3B8" w:sz="1"/>
            </w:tcBorders>
            <w:shd w:fill="F8FAFC" w:val="clear"/>
            <w:vAlign w:val="center"/>
          </w:tcPr>
          <w:p>
            <w:pPr>
              <w:spacing w:after="40" w:before="40"/>
              <w:jc w:val="center"/>
            </w:pPr>
            <w:r>
              <w:rPr>
                <w:rFonts w:ascii="Calibri" w:cs="Calibri" w:eastAsia="Calibri" w:hAnsi="Calibri"/>
                <w:b w:val="false"/>
                <w:bCs w:val="false"/>
                <w:color w:val="1E293B"/>
                <w:sz w:val="20"/>
                <w:szCs w:val="20"/>
              </w:rPr>
              <w:t xml:space="preserve">High-performance distributed communication</w:t>
            </w:r>
          </w:p>
        </w:tc>
      </w:tr>
    </w:tbl>
    <w:p>
      <w:pPr>
        <w:spacing w:after="200" w:before="40"/>
        <w:jc w:val="center"/>
      </w:pPr>
      <w:r>
        <w:rPr>
          <w:rFonts w:ascii="Calibri" w:cs="Calibri" w:eastAsia="Calibri" w:hAnsi="Calibri"/>
          <w:i/>
          <w:iCs/>
          <w:color w:val="64748B"/>
          <w:sz w:val="18"/>
          <w:szCs w:val="18"/>
        </w:rPr>
        <w:t xml:space="preserve">Table 1: Core Components of the Privacy-Preserving AI Toolkit</w:t>
      </w:r>
    </w:p>
    <w:p>
      <w:pPr>
        <w:pStyle w:val="Heading3"/>
        <w:spacing w:after="120" w:before="240" w:line="276"/>
      </w:pPr>
      <w:r>
        <w:rPr>
          <w:rFonts w:ascii="Times New Roman" w:cs="Times New Roman" w:eastAsia="Times New Roman" w:hAnsi="Times New Roman"/>
          <w:b/>
          <w:bCs/>
          <w:color w:val="1E3A5F"/>
          <w:sz w:val="24"/>
          <w:szCs w:val="24"/>
        </w:rPr>
        <w:t xml:space="preserve">2.2 Proven Track Record</w:t>
      </w:r>
    </w:p>
    <w:p>
      <w:pPr>
        <w:spacing w:after="120" w:line="276"/>
        <w:jc w:val="left"/>
      </w:pPr>
      <w:r>
        <w:rPr>
          <w:rFonts w:ascii="Calibri" w:cs="Calibri" w:eastAsia="Calibri" w:hAnsi="Calibri"/>
          <w:color w:val="1E293B"/>
          <w:sz w:val="22"/>
          <w:szCs w:val="22"/>
        </w:rPr>
        <w:t xml:space="preserve">The toolkit has been deployed and validated across multiple real-world projects, demonstrating consistent performance gains and robust privacy guarantees:</w:t>
      </w:r>
    </w:p>
    <w:p>
      <w:pPr>
        <w:pStyle w:val="ListParagraph"/>
        <w:numPr>
          <w:ilvl w:val="0"/>
          <w:numId w:val="3"/>
        </w:numPr>
        <w:spacing w:after="60" w:line="276"/>
      </w:pPr>
      <w:r>
        <w:rPr>
          <w:rFonts w:ascii="Calibri" w:cs="Calibri" w:eastAsia="Calibri" w:hAnsi="Calibri"/>
          <w:color w:val="1E293B"/>
          <w:sz w:val="22"/>
          <w:szCs w:val="22"/>
        </w:rPr>
        <w:t xml:space="preserve">organoid-fl: 99.17% classification accuracy across 3 FL rounds with FedAvg aggregation on organoid image data.</w:t>
      </w:r>
    </w:p>
    <w:p>
      <w:pPr>
        <w:pStyle w:val="ListParagraph"/>
        <w:numPr>
          <w:ilvl w:val="0"/>
          <w:numId w:val="3"/>
        </w:numPr>
        <w:spacing w:after="60" w:line="276"/>
      </w:pPr>
      <w:r>
        <w:rPr>
          <w:rFonts w:ascii="Calibri" w:cs="Calibri" w:eastAsia="Calibri" w:hAnsi="Calibri"/>
          <w:color w:val="1E293B"/>
          <w:sz w:val="22"/>
          <w:szCs w:val="22"/>
        </w:rPr>
        <w:t xml:space="preserve">embodied-fl: +3.2% accuracy improvement from cross-robot federated aggregation using Shared Backbone + Local Head.</w:t>
      </w:r>
    </w:p>
    <w:p>
      <w:pPr>
        <w:pStyle w:val="ListParagraph"/>
        <w:numPr>
          <w:ilvl w:val="0"/>
          <w:numId w:val="3"/>
        </w:numPr>
        <w:spacing w:after="60" w:line="276"/>
      </w:pPr>
      <w:r>
        <w:rPr>
          <w:rFonts w:ascii="Calibri" w:cs="Calibri" w:eastAsia="Calibri" w:hAnsi="Calibri"/>
          <w:color w:val="1E293B"/>
          <w:sz w:val="22"/>
          <w:szCs w:val="22"/>
        </w:rPr>
        <w:t xml:space="preserve">medical-fl: 50% → 56.7% accuracy in 3 FL rounds on medical imaging; 87% communication cost reduction vs. UltraFedFM baseline.</w:t>
      </w:r>
    </w:p>
    <w:p>
      <w:pPr>
        <w:pStyle w:val="ListParagraph"/>
        <w:numPr>
          <w:ilvl w:val="0"/>
          <w:numId w:val="3"/>
        </w:numPr>
        <w:spacing w:after="60" w:line="276"/>
      </w:pPr>
      <w:r>
        <w:rPr>
          <w:rFonts w:ascii="Calibri" w:cs="Calibri" w:eastAsia="Calibri" w:hAnsi="Calibri"/>
          <w:color w:val="1E293B"/>
          <w:sz w:val="22"/>
          <w:szCs w:val="22"/>
        </w:rPr>
        <w:t xml:space="preserve">TWC-FL: Complete platform with Bayesian optimization, data anonymization, and blockchain audit for catalyst R&amp;D.</w:t>
      </w:r>
    </w:p>
    <w:p>
      <w:pPr>
        <w:pStyle w:val="ListParagraph"/>
        <w:numPr>
          <w:ilvl w:val="0"/>
          <w:numId w:val="3"/>
        </w:numPr>
        <w:spacing w:after="60" w:line="276"/>
      </w:pPr>
      <w:r>
        <w:rPr>
          <w:rFonts w:ascii="Calibri" w:cs="Calibri" w:eastAsia="Calibri" w:hAnsi="Calibri"/>
          <w:color w:val="1E293B"/>
          <w:sz w:val="22"/>
          <w:szCs w:val="22"/>
        </w:rPr>
        <w:t xml:space="preserve">mural-restoration: YOLO-based 6-class defect detection with DINOv2 features and Diffusion inpainting.</w:t>
      </w:r>
    </w:p>
    <w:p>
      <w:pPr>
        <w:pStyle w:val="Heading1"/>
      </w:pPr>
      <w:r>
        <w:t xml:space="preserve">3. Application to Precision Agriculture</w:t>
      </w:r>
    </w:p>
    <w:p>
      <w:pPr>
        <w:pStyle w:val="Heading3"/>
        <w:spacing w:after="120" w:before="240" w:line="276"/>
      </w:pPr>
      <w:r>
        <w:rPr>
          <w:rFonts w:ascii="Times New Roman" w:cs="Times New Roman" w:eastAsia="Times New Roman" w:hAnsi="Times New Roman"/>
          <w:b/>
          <w:bCs/>
          <w:color w:val="1E3A5F"/>
          <w:sz w:val="24"/>
          <w:szCs w:val="24"/>
        </w:rPr>
        <w:t xml:space="preserve">3.1 Scenario: Multi-Farm Collaborative Yield Prediction</w:t>
      </w:r>
    </w:p>
    <w:p>
      <w:pPr>
        <w:spacing w:after="120" w:line="276"/>
        <w:jc w:val="left"/>
      </w:pPr>
      <w:r>
        <w:rPr>
          <w:rFonts w:ascii="Calibri" w:cs="Calibri" w:eastAsia="Calibri" w:hAnsi="Calibri"/>
          <w:color w:val="1E293B"/>
          <w:sz w:val="22"/>
          <w:szCs w:val="22"/>
        </w:rPr>
        <w:t xml:space="preserve">Consider three farms with different specializations: Farm A (wheat, loam soil), Farm B (rice, clay soil), and Farm C (corn, sandy soil). Each farm holds proprietary data on soil composition, microclimate conditions, fertilizer usage, and historical yields. This data represents significant competitive advantage and cannot be shared directly.</w:t>
      </w:r>
    </w:p>
    <w:p>
      <w:pPr>
        <w:spacing w:after="120" w:line="276"/>
        <w:jc w:val="left"/>
      </w:pPr>
      <w:r>
        <w:rPr>
          <w:rFonts w:ascii="Calibri" w:cs="Calibri" w:eastAsia="Calibri" w:hAnsi="Calibri"/>
          <w:color w:val="1E293B"/>
          <w:sz w:val="22"/>
          <w:szCs w:val="22"/>
        </w:rPr>
        <w:t xml:space="preserve">The FL framework enables these farms to collaboratively train a shared yield prediction model. Each farm trains a local model on its own data, then shares only model parameter updates with a central aggregation server. The FedAvg algorithm averages these updates to produce an improved global model that benefits from all farms' data without any farm exposing its raw records.</w:t>
      </w:r>
    </w:p>
    <w:p>
      <w:pPr>
        <w:pStyle w:val="Heading3"/>
        <w:spacing w:after="120" w:before="240" w:line="276"/>
      </w:pPr>
      <w:r>
        <w:rPr>
          <w:rFonts w:ascii="Times New Roman" w:cs="Times New Roman" w:eastAsia="Times New Roman" w:hAnsi="Times New Roman"/>
          <w:b/>
          <w:bCs/>
          <w:color w:val="1E3A5F"/>
          <w:sz w:val="24"/>
          <w:szCs w:val="24"/>
        </w:rPr>
        <w:t xml:space="preserve">3.2 YOLO Transfer: From Mural Defects to Crop Pests</w:t>
      </w:r>
    </w:p>
    <w:p>
      <w:pPr>
        <w:spacing w:after="120" w:line="276"/>
        <w:jc w:val="left"/>
      </w:pPr>
      <w:r>
        <w:rPr>
          <w:rFonts w:ascii="Calibri" w:cs="Calibri" w:eastAsia="Calibri" w:hAnsi="Calibri"/>
          <w:color w:val="1E293B"/>
          <w:sz w:val="22"/>
          <w:szCs w:val="22"/>
        </w:rPr>
        <w:t xml:space="preserve">The YOLO object detection pipeline, proven on mural defect detection (6 classes: cracking, flaking, voids, efflorescence, color loss, biological growth), transfers directly to crop pest and disease detection. The architecture is identical—only the training data changes:</w:t>
      </w:r>
    </w:p>
    <w:p>
      <w:pPr>
        <w:pStyle w:val="ListParagraph"/>
        <w:numPr>
          <w:ilvl w:val="0"/>
          <w:numId w:val="4"/>
        </w:numPr>
        <w:spacing w:after="60" w:line="276"/>
      </w:pPr>
      <w:r>
        <w:rPr>
          <w:rFonts w:ascii="Calibri" w:cs="Calibri" w:eastAsia="Calibri" w:hAnsi="Calibri"/>
          <w:color w:val="1E293B"/>
          <w:sz w:val="22"/>
          <w:szCs w:val="22"/>
        </w:rPr>
        <w:t xml:space="preserve">Mural defects → Crop diseases: cracking → leaf blight, flaking → powdery mildew, biological growth → fungal infection.</w:t>
      </w:r>
    </w:p>
    <w:p>
      <w:pPr>
        <w:pStyle w:val="ListParagraph"/>
        <w:numPr>
          <w:ilvl w:val="0"/>
          <w:numId w:val="4"/>
        </w:numPr>
        <w:spacing w:after="60" w:line="276"/>
      </w:pPr>
      <w:r>
        <w:rPr>
          <w:rFonts w:ascii="Calibri" w:cs="Calibri" w:eastAsia="Calibri" w:hAnsi="Calibri"/>
          <w:color w:val="1E293B"/>
          <w:sz w:val="22"/>
          <w:szCs w:val="22"/>
        </w:rPr>
        <w:t xml:space="preserve">DINOv2 feature extraction (768-dim) provides robust visual representations that generalize across domains.</w:t>
      </w:r>
    </w:p>
    <w:p>
      <w:pPr>
        <w:pStyle w:val="ListParagraph"/>
        <w:numPr>
          <w:ilvl w:val="0"/>
          <w:numId w:val="4"/>
        </w:numPr>
        <w:spacing w:after="60" w:line="276"/>
      </w:pPr>
      <w:r>
        <w:rPr>
          <w:rFonts w:ascii="Calibri" w:cs="Calibri" w:eastAsia="Calibri" w:hAnsi="Calibri"/>
          <w:color w:val="1E293B"/>
          <w:sz w:val="22"/>
          <w:szCs w:val="22"/>
        </w:rPr>
        <w:t xml:space="preserve">The Shared Backbone + Local Head pattern allows each farm to maintain a pest-detection head tuned to its local crop varieties.</w:t>
      </w:r>
    </w:p>
    <w:p>
      <w:pPr>
        <w:pStyle w:val="Heading3"/>
        <w:spacing w:after="120" w:before="240" w:line="276"/>
      </w:pPr>
      <w:r>
        <w:rPr>
          <w:rFonts w:ascii="Times New Roman" w:cs="Times New Roman" w:eastAsia="Times New Roman" w:hAnsi="Times New Roman"/>
          <w:b/>
          <w:bCs/>
          <w:color w:val="1E3A5F"/>
          <w:sz w:val="24"/>
          <w:szCs w:val="24"/>
        </w:rPr>
        <w:t xml:space="preserve">3.3 HNSW for Similar-Field Retrieval</w:t>
      </w:r>
    </w:p>
    <w:p>
      <w:pPr>
        <w:spacing w:after="120" w:line="276"/>
        <w:jc w:val="left"/>
      </w:pPr>
      <w:r>
        <w:rPr>
          <w:rFonts w:ascii="Calibri" w:cs="Calibri" w:eastAsia="Calibri" w:hAnsi="Calibri"/>
          <w:color w:val="1E293B"/>
          <w:sz w:val="22"/>
          <w:szCs w:val="22"/>
        </w:rPr>
        <w:t xml:space="preserve">The Rust HNSW vector search engine enables farmers to query for historically similar fields. Given a query field's soil composition, climate profile, and crop type, the system retrieves the top-K most similar fields from the federated database—along with their historical management practices and outcomes—without exposing any individual farm's complete dataset.</w:t>
      </w:r>
    </w:p>
    <w:p>
      <w:pPr>
        <w:pStyle w:val="Heading3"/>
        <w:spacing w:after="120" w:before="240" w:line="276"/>
      </w:pPr>
      <w:r>
        <w:rPr>
          <w:rFonts w:ascii="Times New Roman" w:cs="Times New Roman" w:eastAsia="Times New Roman" w:hAnsi="Times New Roman"/>
          <w:b/>
          <w:bCs/>
          <w:color w:val="1E3A5F"/>
          <w:sz w:val="24"/>
          <w:szCs w:val="24"/>
        </w:rPr>
        <w:t xml:space="preserve">3.4 Workflow Example</w:t>
      </w:r>
    </w:p>
    <w:p>
      <w:pPr>
        <w:shd w:fill="F1F5F9" w:val="clear"/>
        <w:spacing w:after="80" w:before="80" w:line="240"/>
        <w:ind w:left="360"/>
      </w:pPr>
      <w:r>
        <w:rPr>
          <w:rFonts w:ascii="Courier New" w:cs="Courier New" w:eastAsia="Courier New" w:hAnsi="Courier New"/>
          <w:color w:val="334155"/>
          <w:sz w:val="18"/>
          <w:szCs w:val="18"/>
        </w:rPr>
        <w:t xml:space="preserve"># Step 1: Each farm initializes local model
engine = FLEngine(FLConfig(dp_epsilon=10.0, learning_rate=0.01))
engine.add_client(FLClient('farm_a', 'Wheat Farm', num_samples=5000))
engine.add_client(FLClient('farm_b', 'Rice Farm', num_samples=4200))
engine.add_client(FLClient('farm_c', 'Corn Farm', num_samples=3800))
# Step 2: Federated training (data stays local)
history = engine.run_simulation(num_rounds=10)
# Step 3: Audit trail for regulatory compliance
audit = AuditChain()
audit.append('fl_round', 'farm_a', {'round': 1, 'loss': 0.342})
assert audit.verify_chain()  # Tamper-proof
# Step 4: Similar field retrieval via HNSW
similar = hnsw.search(query_vector, top_k=5)</w:t>
      </w:r>
    </w:p>
    <w:p>
      <w:pPr>
        <w:pStyle w:val="Heading3"/>
        <w:spacing w:after="120" w:before="240" w:line="276"/>
      </w:pPr>
      <w:r>
        <w:rPr>
          <w:rFonts w:ascii="Times New Roman" w:cs="Times New Roman" w:eastAsia="Times New Roman" w:hAnsi="Times New Roman"/>
          <w:b/>
          <w:bCs/>
          <w:color w:val="1E3A5F"/>
          <w:sz w:val="24"/>
          <w:szCs w:val="24"/>
        </w:rPr>
        <w:t xml:space="preserve">3.5 Expected Benefits</w:t>
      </w:r>
    </w:p>
    <w:p>
      <w:pPr>
        <w:pStyle w:val="ListParagraph"/>
        <w:numPr>
          <w:ilvl w:val="0"/>
          <w:numId w:val="5"/>
        </w:numPr>
        <w:spacing w:after="60" w:line="276"/>
      </w:pPr>
      <w:r>
        <w:rPr>
          <w:rFonts w:ascii="Calibri" w:cs="Calibri" w:eastAsia="Calibri" w:hAnsi="Calibri"/>
          <w:color w:val="1E293B"/>
          <w:sz w:val="22"/>
          <w:szCs w:val="22"/>
        </w:rPr>
        <w:t xml:space="preserve">Yield Prediction: 8–15% improvement over single-farm models through cross-farm knowledge sharing.</w:t>
      </w:r>
    </w:p>
    <w:p>
      <w:pPr>
        <w:pStyle w:val="ListParagraph"/>
        <w:numPr>
          <w:ilvl w:val="0"/>
          <w:numId w:val="5"/>
        </w:numPr>
        <w:spacing w:after="60" w:line="276"/>
      </w:pPr>
      <w:r>
        <w:rPr>
          <w:rFonts w:ascii="Calibri" w:cs="Calibri" w:eastAsia="Calibri" w:hAnsi="Calibri"/>
          <w:color w:val="1E293B"/>
          <w:sz w:val="22"/>
          <w:szCs w:val="22"/>
        </w:rPr>
        <w:t xml:space="preserve">Pest Detection: &gt;90% mAP achievable with YOLO transfer, reducing manual scouting by 60%.</w:t>
      </w:r>
    </w:p>
    <w:p>
      <w:pPr>
        <w:pStyle w:val="ListParagraph"/>
        <w:numPr>
          <w:ilvl w:val="0"/>
          <w:numId w:val="5"/>
        </w:numPr>
        <w:spacing w:after="60" w:line="276"/>
      </w:pPr>
      <w:r>
        <w:rPr>
          <w:rFonts w:ascii="Calibri" w:cs="Calibri" w:eastAsia="Calibri" w:hAnsi="Calibri"/>
          <w:color w:val="1E293B"/>
          <w:sz w:val="22"/>
          <w:szCs w:val="22"/>
        </w:rPr>
        <w:t xml:space="preserve">Communication Cost: ~7MB per FL round (Tiny backbone), feasible over rural broadband.</w:t>
      </w:r>
    </w:p>
    <w:p>
      <w:pPr>
        <w:pStyle w:val="ListParagraph"/>
        <w:numPr>
          <w:ilvl w:val="0"/>
          <w:numId w:val="5"/>
        </w:numPr>
        <w:spacing w:after="60" w:line="276"/>
      </w:pPr>
      <w:r>
        <w:rPr>
          <w:rFonts w:ascii="Calibri" w:cs="Calibri" w:eastAsia="Calibri" w:hAnsi="Calibri"/>
          <w:color w:val="1E293B"/>
          <w:sz w:val="22"/>
          <w:szCs w:val="22"/>
        </w:rPr>
        <w:t xml:space="preserve">Privacy: Differential privacy (ε=10) ensures individual field records cannot be inferred.</w:t>
      </w:r>
    </w:p>
    <w:p>
      <w:pPr>
        <w:pStyle w:val="Heading1"/>
      </w:pPr>
      <w:r>
        <w:t xml:space="preserve">4. Application to Food Technology &amp; Safety</w:t>
      </w:r>
    </w:p>
    <w:p>
      <w:pPr>
        <w:pStyle w:val="Heading3"/>
        <w:spacing w:after="120" w:before="240" w:line="276"/>
      </w:pPr>
      <w:r>
        <w:rPr>
          <w:rFonts w:ascii="Times New Roman" w:cs="Times New Roman" w:eastAsia="Times New Roman" w:hAnsi="Times New Roman"/>
          <w:b/>
          <w:bCs/>
          <w:color w:val="1E3A5F"/>
          <w:sz w:val="24"/>
          <w:szCs w:val="24"/>
        </w:rPr>
        <w:t xml:space="preserve">4.1 Scenario: Cross-Enterprise Food Safety Modeling</w:t>
      </w:r>
    </w:p>
    <w:p>
      <w:pPr>
        <w:spacing w:after="120" w:line="276"/>
        <w:jc w:val="left"/>
      </w:pPr>
      <w:r>
        <w:rPr>
          <w:rFonts w:ascii="Calibri" w:cs="Calibri" w:eastAsia="Calibri" w:hAnsi="Calibri"/>
          <w:color w:val="1E293B"/>
          <w:sz w:val="22"/>
          <w:szCs w:val="22"/>
        </w:rPr>
        <w:t xml:space="preserve">Three food companies—Company A (dairy), Company B (processed meat), and Company C (fresh produce)—each maintain proprietary contamination detection data, quality inspection logs, and supply chain records. Sharing this data directly would expose trade secrets and violate competitive boundaries.</w:t>
      </w:r>
    </w:p>
    <w:p>
      <w:pPr>
        <w:spacing w:after="120" w:line="276"/>
        <w:jc w:val="left"/>
      </w:pPr>
      <w:r>
        <w:rPr>
          <w:rFonts w:ascii="Calibri" w:cs="Calibri" w:eastAsia="Calibri" w:hAnsi="Calibri"/>
          <w:color w:val="1E293B"/>
          <w:sz w:val="22"/>
          <w:szCs w:val="22"/>
        </w:rPr>
        <w:t xml:space="preserve">The FL framework enables these companies to collaboratively train a unified food safety risk model. Each company contributes its contamination patterns, detection results, and quality metrics to improve the shared model, while keeping proprietary formulations and process parameters completely local.</w:t>
      </w:r>
    </w:p>
    <w:p>
      <w:pPr>
        <w:pStyle w:val="Heading3"/>
        <w:spacing w:after="120" w:before="240" w:line="276"/>
      </w:pPr>
      <w:r>
        <w:rPr>
          <w:rFonts w:ascii="Times New Roman" w:cs="Times New Roman" w:eastAsia="Times New Roman" w:hAnsi="Times New Roman"/>
          <w:b/>
          <w:bCs/>
          <w:color w:val="1E3A5F"/>
          <w:sz w:val="24"/>
          <w:szCs w:val="24"/>
        </w:rPr>
        <w:t xml:space="preserve">4.2 Blockchain Audit Chain for Supply Chain Traceability</w:t>
      </w:r>
    </w:p>
    <w:p>
      <w:pPr>
        <w:spacing w:after="120" w:line="276"/>
        <w:jc w:val="left"/>
      </w:pPr>
      <w:r>
        <w:rPr>
          <w:rFonts w:ascii="Calibri" w:cs="Calibri" w:eastAsia="Calibri" w:hAnsi="Calibri"/>
          <w:color w:val="1E293B"/>
          <w:sz w:val="22"/>
          <w:szCs w:val="22"/>
        </w:rPr>
        <w:t xml:space="preserve">The SHA-256 audit chain provides farm-to-table traceability. Every critical event in the supply chain is recorded as an immutable entry:</w:t>
      </w:r>
    </w:p>
    <w:p>
      <w:pPr>
        <w:pStyle w:val="ListParagraph"/>
        <w:numPr>
          <w:ilvl w:val="0"/>
          <w:numId w:val="6"/>
        </w:numPr>
        <w:spacing w:after="60" w:line="276"/>
      </w:pPr>
      <w:r>
        <w:rPr>
          <w:rFonts w:ascii="Calibri" w:cs="Calibri" w:eastAsia="Calibri" w:hAnsi="Calibri"/>
          <w:color w:val="1E293B"/>
          <w:sz w:val="22"/>
          <w:szCs w:val="22"/>
        </w:rPr>
        <w:t xml:space="preserve">Raw material inspection at the farm/warehouse</w:t>
      </w:r>
    </w:p>
    <w:p>
      <w:pPr>
        <w:pStyle w:val="ListParagraph"/>
        <w:numPr>
          <w:ilvl w:val="0"/>
          <w:numId w:val="6"/>
        </w:numPr>
        <w:spacing w:after="60" w:line="276"/>
      </w:pPr>
      <w:r>
        <w:rPr>
          <w:rFonts w:ascii="Calibri" w:cs="Calibri" w:eastAsia="Calibri" w:hAnsi="Calibri"/>
          <w:color w:val="1E293B"/>
          <w:sz w:val="22"/>
          <w:szCs w:val="22"/>
        </w:rPr>
        <w:t xml:space="preserve">Quality control checkpoints during processing</w:t>
      </w:r>
    </w:p>
    <w:p>
      <w:pPr>
        <w:pStyle w:val="ListParagraph"/>
        <w:numPr>
          <w:ilvl w:val="0"/>
          <w:numId w:val="6"/>
        </w:numPr>
        <w:spacing w:after="60" w:line="276"/>
      </w:pPr>
      <w:r>
        <w:rPr>
          <w:rFonts w:ascii="Calibri" w:cs="Calibri" w:eastAsia="Calibri" w:hAnsi="Calibri"/>
          <w:color w:val="1E293B"/>
          <w:sz w:val="22"/>
          <w:szCs w:val="22"/>
        </w:rPr>
        <w:t xml:space="preserve">Cold chain temperature logs during transport</w:t>
      </w:r>
    </w:p>
    <w:p>
      <w:pPr>
        <w:pStyle w:val="ListParagraph"/>
        <w:numPr>
          <w:ilvl w:val="0"/>
          <w:numId w:val="6"/>
        </w:numPr>
        <w:spacing w:after="60" w:line="276"/>
      </w:pPr>
      <w:r>
        <w:rPr>
          <w:rFonts w:ascii="Calibri" w:cs="Calibri" w:eastAsia="Calibri" w:hAnsi="Calibri"/>
          <w:color w:val="1E293B"/>
          <w:sz w:val="22"/>
          <w:szCs w:val="22"/>
        </w:rPr>
        <w:t xml:space="preserve">Retail shelf-life verification</w:t>
      </w:r>
    </w:p>
    <w:p>
      <w:pPr>
        <w:pStyle w:val="ListParagraph"/>
        <w:numPr>
          <w:ilvl w:val="0"/>
          <w:numId w:val="6"/>
        </w:numPr>
        <w:spacing w:after="60" w:line="276"/>
      </w:pPr>
      <w:r>
        <w:rPr>
          <w:rFonts w:ascii="Calibri" w:cs="Calibri" w:eastAsia="Calibri" w:hAnsi="Calibri"/>
          <w:color w:val="1E293B"/>
          <w:sz w:val="22"/>
          <w:szCs w:val="22"/>
        </w:rPr>
        <w:t xml:space="preserve">Consumer complaint and recall triggers</w:t>
      </w:r>
    </w:p>
    <w:p>
      <w:pPr>
        <w:spacing w:after="120" w:line="276"/>
        <w:jc w:val="left"/>
      </w:pPr>
      <w:r>
        <w:rPr>
          <w:rFonts w:ascii="Calibri" w:cs="Calibri" w:eastAsia="Calibri" w:hAnsi="Calibri"/>
          <w:color w:val="1E293B"/>
          <w:sz w:val="22"/>
          <w:szCs w:val="22"/>
        </w:rPr>
        <w:t xml:space="preserve">Each entry is cryptographically linked to the previous one, making the entire chain tamper-proof. Regulators (FDA, EFSA, GB standards) can verify chain integrity at any point, satisfying food safety compliance requirements.</w:t>
      </w:r>
    </w:p>
    <w:p>
      <w:pPr>
        <w:pStyle w:val="Heading3"/>
        <w:spacing w:after="120" w:before="240" w:line="276"/>
      </w:pPr>
      <w:r>
        <w:rPr>
          <w:rFonts w:ascii="Times New Roman" w:cs="Times New Roman" w:eastAsia="Times New Roman" w:hAnsi="Times New Roman"/>
          <w:b/>
          <w:bCs/>
          <w:color w:val="1E3A5F"/>
          <w:sz w:val="24"/>
          <w:szCs w:val="24"/>
        </w:rPr>
        <w:t xml:space="preserve">4.3 Data Anonymization for Collaborative Optimization</w:t>
      </w:r>
    </w:p>
    <w:p>
      <w:pPr>
        <w:spacing w:after="120" w:line="276"/>
        <w:jc w:val="left"/>
      </w:pPr>
      <w:r>
        <w:rPr>
          <w:rFonts w:ascii="Calibri" w:cs="Calibri" w:eastAsia="Calibri" w:hAnsi="Calibri"/>
          <w:color w:val="1E293B"/>
          <w:sz w:val="22"/>
          <w:szCs w:val="22"/>
        </w:rPr>
        <w:t xml:space="preserve">When companies participate in joint optimization (e.g., reducing preservative levels while maintaining safety), the Data Vault's anonymization module adds calibrated Gaussian noise to proprietary formulation parameters. This allows companies to contribute to collective optimization without revealing exact recipes or process conditions.</w:t>
      </w:r>
    </w:p>
    <w:p>
      <w:pPr>
        <w:pStyle w:val="Heading3"/>
        <w:spacing w:after="120" w:before="240" w:line="276"/>
      </w:pPr>
      <w:r>
        <w:rPr>
          <w:rFonts w:ascii="Times New Roman" w:cs="Times New Roman" w:eastAsia="Times New Roman" w:hAnsi="Times New Roman"/>
          <w:b/>
          <w:bCs/>
          <w:color w:val="1E3A5F"/>
          <w:sz w:val="24"/>
          <w:szCs w:val="24"/>
        </w:rPr>
        <w:t xml:space="preserve">4.4 Knowledge Hub for Regulatory Compliance</w:t>
      </w:r>
    </w:p>
    <w:p>
      <w:pPr>
        <w:spacing w:after="120" w:line="276"/>
        <w:jc w:val="left"/>
      </w:pPr>
      <w:r>
        <w:rPr>
          <w:rFonts w:ascii="Calibri" w:cs="Calibri" w:eastAsia="Calibri" w:hAnsi="Calibri"/>
          <w:color w:val="1E293B"/>
          <w:sz w:val="22"/>
          <w:szCs w:val="22"/>
        </w:rPr>
        <w:t xml:space="preserve">The Knowledge Hub manages food safety regulations and standards across jurisdictions:</w:t>
      </w:r>
    </w:p>
    <w:p>
      <w:pPr>
        <w:pStyle w:val="ListParagraph"/>
        <w:numPr>
          <w:ilvl w:val="0"/>
          <w:numId w:val="7"/>
        </w:numPr>
        <w:spacing w:after="60" w:line="276"/>
      </w:pPr>
      <w:r>
        <w:rPr>
          <w:rFonts w:ascii="Calibri" w:cs="Calibri" w:eastAsia="Calibri" w:hAnsi="Calibri"/>
          <w:color w:val="1E293B"/>
          <w:sz w:val="22"/>
          <w:szCs w:val="22"/>
        </w:rPr>
        <w:t xml:space="preserve">FDA Title 21 CFR requirements for food manufacturing</w:t>
      </w:r>
    </w:p>
    <w:p>
      <w:pPr>
        <w:pStyle w:val="ListParagraph"/>
        <w:numPr>
          <w:ilvl w:val="0"/>
          <w:numId w:val="7"/>
        </w:numPr>
        <w:spacing w:after="60" w:line="276"/>
      </w:pPr>
      <w:r>
        <w:rPr>
          <w:rFonts w:ascii="Calibri" w:cs="Calibri" w:eastAsia="Calibri" w:hAnsi="Calibri"/>
          <w:color w:val="1E293B"/>
          <w:sz w:val="22"/>
          <w:szCs w:val="22"/>
        </w:rPr>
        <w:t xml:space="preserve">EFSA food safety assessment guidelines</w:t>
      </w:r>
    </w:p>
    <w:p>
      <w:pPr>
        <w:pStyle w:val="ListParagraph"/>
        <w:numPr>
          <w:ilvl w:val="0"/>
          <w:numId w:val="7"/>
        </w:numPr>
        <w:spacing w:after="60" w:line="276"/>
      </w:pPr>
      <w:r>
        <w:rPr>
          <w:rFonts w:ascii="Calibri" w:cs="Calibri" w:eastAsia="Calibri" w:hAnsi="Calibri"/>
          <w:color w:val="1E293B"/>
          <w:sz w:val="22"/>
          <w:szCs w:val="22"/>
        </w:rPr>
        <w:t xml:space="preserve">GB (Chinese National Standard) food safety limits</w:t>
      </w:r>
    </w:p>
    <w:p>
      <w:pPr>
        <w:pStyle w:val="ListParagraph"/>
        <w:numPr>
          <w:ilvl w:val="0"/>
          <w:numId w:val="7"/>
        </w:numPr>
        <w:spacing w:after="60" w:line="276"/>
      </w:pPr>
      <w:r>
        <w:rPr>
          <w:rFonts w:ascii="Calibri" w:cs="Calibri" w:eastAsia="Calibri" w:hAnsi="Calibri"/>
          <w:color w:val="1E293B"/>
          <w:sz w:val="22"/>
          <w:szCs w:val="22"/>
        </w:rPr>
        <w:t xml:space="preserve">HACCP (Hazard Analysis Critical Control Points) protocols</w:t>
      </w:r>
    </w:p>
    <w:p>
      <w:pPr>
        <w:pStyle w:val="ListParagraph"/>
        <w:numPr>
          <w:ilvl w:val="0"/>
          <w:numId w:val="7"/>
        </w:numPr>
        <w:spacing w:after="60" w:line="276"/>
      </w:pPr>
      <w:r>
        <w:rPr>
          <w:rFonts w:ascii="Calibri" w:cs="Calibri" w:eastAsia="Calibri" w:hAnsi="Calibri"/>
          <w:color w:val="1E293B"/>
          <w:sz w:val="22"/>
          <w:szCs w:val="22"/>
        </w:rPr>
        <w:t xml:space="preserve">Semantic search enables rapid lookup of relevant regulations by scenario.</w:t>
      </w:r>
    </w:p>
    <w:p>
      <w:pPr>
        <w:pStyle w:val="Heading3"/>
        <w:spacing w:after="120" w:before="240" w:line="276"/>
      </w:pPr>
      <w:r>
        <w:rPr>
          <w:rFonts w:ascii="Times New Roman" w:cs="Times New Roman" w:eastAsia="Times New Roman" w:hAnsi="Times New Roman"/>
          <w:b/>
          <w:bCs/>
          <w:color w:val="1E3A5F"/>
          <w:sz w:val="24"/>
          <w:szCs w:val="24"/>
        </w:rPr>
        <w:t xml:space="preserve">4.5 Expected Benefits</w:t>
      </w:r>
    </w:p>
    <w:p>
      <w:pPr>
        <w:pStyle w:val="ListParagraph"/>
        <w:numPr>
          <w:ilvl w:val="0"/>
          <w:numId w:val="8"/>
        </w:numPr>
        <w:spacing w:after="60" w:line="276"/>
      </w:pPr>
      <w:r>
        <w:rPr>
          <w:rFonts w:ascii="Calibri" w:cs="Calibri" w:eastAsia="Calibri" w:hAnsi="Calibri"/>
          <w:color w:val="1E293B"/>
          <w:sz w:val="22"/>
          <w:szCs w:val="22"/>
        </w:rPr>
        <w:t xml:space="preserve">Safety Model: 20–30% improvement in contamination prediction through cross-company data collaboration.</w:t>
      </w:r>
    </w:p>
    <w:p>
      <w:pPr>
        <w:pStyle w:val="ListParagraph"/>
        <w:numPr>
          <w:ilvl w:val="0"/>
          <w:numId w:val="8"/>
        </w:numPr>
        <w:spacing w:after="60" w:line="276"/>
      </w:pPr>
      <w:r>
        <w:rPr>
          <w:rFonts w:ascii="Calibri" w:cs="Calibri" w:eastAsia="Calibri" w:hAnsi="Calibri"/>
          <w:color w:val="1E293B"/>
          <w:sz w:val="22"/>
          <w:szCs w:val="22"/>
        </w:rPr>
        <w:t xml:space="preserve">Traceability: Complete audit trail from farm to consumer, verifiable in real-time.</w:t>
      </w:r>
    </w:p>
    <w:p>
      <w:pPr>
        <w:pStyle w:val="ListParagraph"/>
        <w:numPr>
          <w:ilvl w:val="0"/>
          <w:numId w:val="8"/>
        </w:numPr>
        <w:spacing w:after="60" w:line="276"/>
      </w:pPr>
      <w:r>
        <w:rPr>
          <w:rFonts w:ascii="Calibri" w:cs="Calibri" w:eastAsia="Calibri" w:hAnsi="Calibri"/>
          <w:color w:val="1E293B"/>
          <w:sz w:val="22"/>
          <w:szCs w:val="22"/>
        </w:rPr>
        <w:t xml:space="preserve">Compliance: Automated regulatory FAQ reduces compliance research time by 50%.</w:t>
      </w:r>
    </w:p>
    <w:p>
      <w:pPr>
        <w:pStyle w:val="ListParagraph"/>
        <w:numPr>
          <w:ilvl w:val="0"/>
          <w:numId w:val="8"/>
        </w:numPr>
        <w:spacing w:after="60" w:line="276"/>
      </w:pPr>
      <w:r>
        <w:rPr>
          <w:rFonts w:ascii="Calibri" w:cs="Calibri" w:eastAsia="Calibri" w:hAnsi="Calibri"/>
          <w:color w:val="1E293B"/>
          <w:sz w:val="22"/>
          <w:szCs w:val="22"/>
        </w:rPr>
        <w:t xml:space="preserve">Cost Reduction: Collaborative optimization reduces preservative usage by 10–15% while maintaining safety.</w:t>
      </w:r>
    </w:p>
    <w:p>
      <w:pPr>
        <w:pStyle w:val="Heading1"/>
      </w:pPr>
      <w:r>
        <w:t xml:space="preserve">5. Application to Drug Discovery &amp; Clinical Research</w:t>
      </w:r>
    </w:p>
    <w:p>
      <w:pPr>
        <w:pStyle w:val="Heading3"/>
        <w:spacing w:after="120" w:before="240" w:line="276"/>
      </w:pPr>
      <w:r>
        <w:rPr>
          <w:rFonts w:ascii="Times New Roman" w:cs="Times New Roman" w:eastAsia="Times New Roman" w:hAnsi="Times New Roman"/>
          <w:b/>
          <w:bCs/>
          <w:color w:val="1E3A5F"/>
          <w:sz w:val="24"/>
          <w:szCs w:val="24"/>
        </w:rPr>
        <w:t xml:space="preserve">5.1 Scenario: Multi-Center Clinical Data Analysis</w:t>
      </w:r>
    </w:p>
    <w:p>
      <w:pPr>
        <w:spacing w:after="120" w:line="276"/>
        <w:jc w:val="left"/>
      </w:pPr>
      <w:r>
        <w:rPr>
          <w:rFonts w:ascii="Calibri" w:cs="Calibri" w:eastAsia="Calibri" w:hAnsi="Calibri"/>
          <w:color w:val="1E293B"/>
          <w:sz w:val="22"/>
          <w:szCs w:val="22"/>
        </w:rPr>
        <w:t xml:space="preserve">Three hospitals—Hospital A (oncology), Hospital B (cardiology), and Hospital C (rare diseases)—each hold patient imaging and clinical data protected by HIPAA, GDPR, and local data protection regulations. Centralizing this data for model training is legally prohibitive.</w:t>
      </w:r>
    </w:p>
    <w:p>
      <w:pPr>
        <w:spacing w:after="120" w:line="276"/>
        <w:jc w:val="left"/>
      </w:pPr>
      <w:r>
        <w:rPr>
          <w:rFonts w:ascii="Calibri" w:cs="Calibri" w:eastAsia="Calibri" w:hAnsi="Calibri"/>
          <w:color w:val="1E293B"/>
          <w:sz w:val="22"/>
          <w:szCs w:val="22"/>
        </w:rPr>
        <w:t xml:space="preserve">The medical-fl framework (ViT + MAE self-supervised pretraining + prototype contrastive learning) enables cross-hospital diagnostic model training. The ViT backbone is shared across hospitals, while each hospital maintains a local classification head tailored to its specialty. This architecture achieved 50% → 56.7% accuracy in 3 FL rounds with 87% communication cost reduction compared to the UltraFedFM baseline.</w:t>
      </w:r>
    </w:p>
    <w:p>
      <w:pPr>
        <w:pStyle w:val="Heading3"/>
        <w:spacing w:after="120" w:before="240" w:line="276"/>
      </w:pPr>
      <w:r>
        <w:rPr>
          <w:rFonts w:ascii="Times New Roman" w:cs="Times New Roman" w:eastAsia="Times New Roman" w:hAnsi="Times New Roman"/>
          <w:b/>
          <w:bCs/>
          <w:color w:val="1E3A5F"/>
          <w:sz w:val="24"/>
          <w:szCs w:val="24"/>
        </w:rPr>
        <w:t xml:space="preserve">5.2 Bayesian Optimization for Molecular Parameter Search</w:t>
      </w:r>
    </w:p>
    <w:p>
      <w:pPr>
        <w:spacing w:after="120" w:line="276"/>
        <w:jc w:val="left"/>
      </w:pPr>
      <w:r>
        <w:rPr>
          <w:rFonts w:ascii="Calibri" w:cs="Calibri" w:eastAsia="Calibri" w:hAnsi="Calibri"/>
          <w:color w:val="1E293B"/>
          <w:sz w:val="22"/>
          <w:szCs w:val="22"/>
        </w:rPr>
        <w:t xml:space="preserve">The Bayesian Optimizer (Gaussian Process surrogate + Expected Improvement acquisition) accelerates molecular parameter exploration. Given a chemical compound space defined by parameters such as solubility, toxicity, binding affinity, and molecular weight, the optimizer recommends the most promising candidate compounds for experimental validation—reducing the number of required wet-lab experiments by 40–60%.</w:t>
      </w:r>
    </w:p>
    <w:p>
      <w:pPr>
        <w:pStyle w:val="Heading3"/>
        <w:spacing w:after="120" w:before="240" w:line="276"/>
      </w:pPr>
      <w:r>
        <w:rPr>
          <w:rFonts w:ascii="Times New Roman" w:cs="Times New Roman" w:eastAsia="Times New Roman" w:hAnsi="Times New Roman"/>
          <w:b/>
          <w:bCs/>
          <w:color w:val="1E3A5F"/>
          <w:sz w:val="24"/>
          <w:szCs w:val="24"/>
        </w:rPr>
        <w:t xml:space="preserve">5.3 Differential Privacy for Clinical Trials</w:t>
      </w:r>
    </w:p>
    <w:p>
      <w:pPr>
        <w:spacing w:after="120" w:line="276"/>
        <w:jc w:val="left"/>
      </w:pPr>
      <w:r>
        <w:rPr>
          <w:rFonts w:ascii="Calibri" w:cs="Calibri" w:eastAsia="Calibri" w:hAnsi="Calibri"/>
          <w:color w:val="1E293B"/>
          <w:sz w:val="22"/>
          <w:szCs w:val="22"/>
        </w:rPr>
        <w:t xml:space="preserve">The Laplace differential privacy mechanism with configurable ε budget ensures that individual patient records cannot be inferred from shared model updates. This is critical for clinical trial data, where patient privacy is both an ethical obligation and a legal requirement.</w:t>
      </w:r>
    </w:p>
    <w:p>
      <w:pPr>
        <w:pStyle w:val="Heading3"/>
        <w:spacing w:after="120" w:before="240" w:line="276"/>
      </w:pPr>
      <w:r>
        <w:rPr>
          <w:rFonts w:ascii="Times New Roman" w:cs="Times New Roman" w:eastAsia="Times New Roman" w:hAnsi="Times New Roman"/>
          <w:b/>
          <w:bCs/>
          <w:color w:val="1E3A5F"/>
          <w:sz w:val="24"/>
          <w:szCs w:val="24"/>
        </w:rPr>
        <w:t xml:space="preserve">5.4 Regulatory Compliance via Audit Chain</w:t>
      </w:r>
    </w:p>
    <w:p>
      <w:pPr>
        <w:spacing w:after="120" w:line="276"/>
        <w:jc w:val="left"/>
      </w:pPr>
      <w:r>
        <w:rPr>
          <w:rFonts w:ascii="Calibri" w:cs="Calibri" w:eastAsia="Calibri" w:hAnsi="Calibri"/>
          <w:color w:val="1E293B"/>
          <w:sz w:val="22"/>
          <w:szCs w:val="22"/>
        </w:rPr>
        <w:t xml:space="preserve">The blockchain audit chain satisfies FDA 21 CFR Part 11 (electronic records and electronic signatures) and EMA data integrity requirements. Every model update, data access, aggregation step, and quality check is recorded with cryptographic verification.</w:t>
      </w:r>
    </w:p>
    <w:p>
      <w:pPr>
        <w:pStyle w:val="Heading3"/>
        <w:spacing w:after="120" w:before="240" w:line="276"/>
      </w:pPr>
      <w:r>
        <w:rPr>
          <w:rFonts w:ascii="Times New Roman" w:cs="Times New Roman" w:eastAsia="Times New Roman" w:hAnsi="Times New Roman"/>
          <w:b/>
          <w:bCs/>
          <w:color w:val="1E3A5F"/>
          <w:sz w:val="24"/>
          <w:szCs w:val="24"/>
        </w:rPr>
        <w:t xml:space="preserve">5.5 Workflow Example</w:t>
      </w:r>
    </w:p>
    <w:p>
      <w:pPr>
        <w:shd w:fill="F1F5F9" w:val="clear"/>
        <w:spacing w:after="80" w:before="80" w:line="240"/>
        <w:ind w:left="360"/>
      </w:pPr>
      <w:r>
        <w:rPr>
          <w:rFonts w:ascii="Courier New" w:cs="Courier New" w:eastAsia="Courier New" w:hAnsi="Courier New"/>
          <w:color w:val="334155"/>
          <w:sz w:val="18"/>
          <w:szCs w:val="18"/>
        </w:rPr>
        <w:t xml:space="preserve"># Medical imaging FL across hospitals
engine = FLEngine(FLConfig(dp_epsilon=5.0, learning_rate=0.005))
engine.add_client(FLClient('hosp_a', 'Oncology', num_samples=10000))
engine.add_client(FLClient('hosp_b', 'Cardiology', num_samples=8000))
engine.add_client(FLClient('hosp_c', 'Rare Disease', num_samples=3000))
# Federated training with strong privacy
history = engine.run_simulation(num_rounds=15)
# Bayesian optimization for drug candidates
optimizer = BayesianOptimizer()
optimizer.add_observations(compounds, binding_affinities)
result = optimizer.recommend_candidates('binding', 'maximize', 10)
# Audit for FDA 21 CFR Part 11 compliance
audit.append('model_update', 'hosp_a', {'round': 1, 'dp_epsilon': 5.0})</w:t>
      </w:r>
    </w:p>
    <w:p>
      <w:pPr>
        <w:pStyle w:val="Heading3"/>
        <w:spacing w:after="120" w:before="240" w:line="276"/>
      </w:pPr>
      <w:r>
        <w:rPr>
          <w:rFonts w:ascii="Times New Roman" w:cs="Times New Roman" w:eastAsia="Times New Roman" w:hAnsi="Times New Roman"/>
          <w:b/>
          <w:bCs/>
          <w:color w:val="1E3A5F"/>
          <w:sz w:val="24"/>
          <w:szCs w:val="24"/>
        </w:rPr>
        <w:t xml:space="preserve">5.6 Expected Benefits</w:t>
      </w:r>
    </w:p>
    <w:p>
      <w:pPr>
        <w:pStyle w:val="ListParagraph"/>
        <w:numPr>
          <w:ilvl w:val="0"/>
          <w:numId w:val="9"/>
        </w:numPr>
        <w:spacing w:after="60" w:line="276"/>
      </w:pPr>
      <w:r>
        <w:rPr>
          <w:rFonts w:ascii="Calibri" w:cs="Calibri" w:eastAsia="Calibri" w:hAnsi="Calibri"/>
          <w:color w:val="1E293B"/>
          <w:sz w:val="22"/>
          <w:szCs w:val="22"/>
        </w:rPr>
        <w:t xml:space="preserve">Diagnostic Accuracy: +6.7% improvement through cross-hospital federated training.</w:t>
      </w:r>
    </w:p>
    <w:p>
      <w:pPr>
        <w:pStyle w:val="ListParagraph"/>
        <w:numPr>
          <w:ilvl w:val="0"/>
          <w:numId w:val="9"/>
        </w:numPr>
        <w:spacing w:after="60" w:line="276"/>
      </w:pPr>
      <w:r>
        <w:rPr>
          <w:rFonts w:ascii="Calibri" w:cs="Calibri" w:eastAsia="Calibri" w:hAnsi="Calibri"/>
          <w:color w:val="1E293B"/>
          <w:sz w:val="22"/>
          <w:szCs w:val="22"/>
        </w:rPr>
        <w:t xml:space="preserve">Communication: ~7MB/round (Tiny ViT), 87% reduction vs. centralized approaches.</w:t>
      </w:r>
    </w:p>
    <w:p>
      <w:pPr>
        <w:pStyle w:val="ListParagraph"/>
        <w:numPr>
          <w:ilvl w:val="0"/>
          <w:numId w:val="9"/>
        </w:numPr>
        <w:spacing w:after="60" w:line="276"/>
      </w:pPr>
      <w:r>
        <w:rPr>
          <w:rFonts w:ascii="Calibri" w:cs="Calibri" w:eastAsia="Calibri" w:hAnsi="Calibri"/>
          <w:color w:val="1E293B"/>
          <w:sz w:val="22"/>
          <w:szCs w:val="22"/>
        </w:rPr>
        <w:t xml:space="preserve">Drug Screening: 40–60% reduction in required wet-lab experiments via Bayesian optimization.</w:t>
      </w:r>
    </w:p>
    <w:p>
      <w:pPr>
        <w:pStyle w:val="ListParagraph"/>
        <w:numPr>
          <w:ilvl w:val="0"/>
          <w:numId w:val="9"/>
        </w:numPr>
        <w:spacing w:after="60" w:line="276"/>
      </w:pPr>
      <w:r>
        <w:rPr>
          <w:rFonts w:ascii="Calibri" w:cs="Calibri" w:eastAsia="Calibri" w:hAnsi="Calibri"/>
          <w:color w:val="1E293B"/>
          <w:sz w:val="22"/>
          <w:szCs w:val="22"/>
        </w:rPr>
        <w:t xml:space="preserve">Compliance: Full audit trail satisfying FDA 21 CFR Part 11 and EMA requirements.</w:t>
      </w:r>
    </w:p>
    <w:p>
      <w:pPr>
        <w:pStyle w:val="Heading1"/>
      </w:pPr>
      <w:r>
        <w:t xml:space="preserve">6. Application to Smart Healthcare</w:t>
      </w:r>
    </w:p>
    <w:p>
      <w:pPr>
        <w:pStyle w:val="Heading3"/>
        <w:spacing w:after="120" w:before="240" w:line="276"/>
      </w:pPr>
      <w:r>
        <w:rPr>
          <w:rFonts w:ascii="Times New Roman" w:cs="Times New Roman" w:eastAsia="Times New Roman" w:hAnsi="Times New Roman"/>
          <w:b/>
          <w:bCs/>
          <w:color w:val="1E3A5F"/>
          <w:sz w:val="24"/>
          <w:szCs w:val="24"/>
        </w:rPr>
        <w:t xml:space="preserve">6.1 Scenario: Privacy-Preserving Telemedicine Network</w:t>
      </w:r>
    </w:p>
    <w:p>
      <w:pPr>
        <w:spacing w:after="120" w:line="276"/>
        <w:jc w:val="left"/>
      </w:pPr>
      <w:r>
        <w:rPr>
          <w:rFonts w:ascii="Calibri" w:cs="Calibri" w:eastAsia="Calibri" w:hAnsi="Calibri"/>
          <w:color w:val="1E293B"/>
          <w:sz w:val="22"/>
          <w:szCs w:val="22"/>
        </w:rPr>
        <w:t xml:space="preserve">A regional healthcare network comprising 5 hospitals serves diverse patient populations across urban and rural areas. Building a unified disease early warning system requires data from all hospitals, but patient records are protected by HIPAA, GDPR, and local regulations.</w:t>
      </w:r>
    </w:p>
    <w:p>
      <w:pPr>
        <w:spacing w:after="120" w:line="276"/>
        <w:jc w:val="left"/>
      </w:pPr>
      <w:r>
        <w:rPr>
          <w:rFonts w:ascii="Calibri" w:cs="Calibri" w:eastAsia="Calibri" w:hAnsi="Calibri"/>
          <w:color w:val="1E293B"/>
          <w:sz w:val="22"/>
          <w:szCs w:val="22"/>
        </w:rPr>
        <w:t xml:space="preserve">The FL framework enables collaborative training of disease prediction models without centralizing patient data. Each hospital trains locally and contributes model updates. The dual privacy protection—differential privacy on updates plus data locality—ensures that no individual patient record can be exposed.</w:t>
      </w:r>
    </w:p>
    <w:p>
      <w:pPr>
        <w:pStyle w:val="Heading3"/>
        <w:spacing w:after="120" w:before="240" w:line="276"/>
      </w:pPr>
      <w:r>
        <w:rPr>
          <w:rFonts w:ascii="Times New Roman" w:cs="Times New Roman" w:eastAsia="Times New Roman" w:hAnsi="Times New Roman"/>
          <w:b/>
          <w:bCs/>
          <w:color w:val="1E3A5F"/>
          <w:sz w:val="24"/>
          <w:szCs w:val="24"/>
        </w:rPr>
        <w:t xml:space="preserve">6.2 Telemedicine Session Audit</w:t>
      </w:r>
    </w:p>
    <w:p>
      <w:pPr>
        <w:spacing w:after="120" w:line="276"/>
        <w:jc w:val="left"/>
      </w:pPr>
      <w:r>
        <w:rPr>
          <w:rFonts w:ascii="Calibri" w:cs="Calibri" w:eastAsia="Calibri" w:hAnsi="Calibri"/>
          <w:color w:val="1E293B"/>
          <w:sz w:val="22"/>
          <w:szCs w:val="22"/>
        </w:rPr>
        <w:t xml:space="preserve">Every telemedicine consultation is recorded on the audit chain:</w:t>
      </w:r>
    </w:p>
    <w:p>
      <w:pPr>
        <w:pStyle w:val="ListParagraph"/>
        <w:numPr>
          <w:ilvl w:val="0"/>
          <w:numId w:val="2"/>
        </w:numPr>
        <w:spacing w:after="60" w:line="276"/>
      </w:pPr>
      <w:r>
        <w:rPr>
          <w:rFonts w:ascii="Calibri" w:cs="Calibri" w:eastAsia="Calibri" w:hAnsi="Calibri"/>
          <w:color w:val="1E293B"/>
          <w:sz w:val="22"/>
          <w:szCs w:val="22"/>
        </w:rPr>
        <w:t xml:space="preserve">Consultation timestamp, duration, and participating clinicians</w:t>
      </w:r>
    </w:p>
    <w:p>
      <w:pPr>
        <w:pStyle w:val="ListParagraph"/>
        <w:numPr>
          <w:ilvl w:val="0"/>
          <w:numId w:val="2"/>
        </w:numPr>
        <w:spacing w:after="60" w:line="276"/>
      </w:pPr>
      <w:r>
        <w:rPr>
          <w:rFonts w:ascii="Calibri" w:cs="Calibri" w:eastAsia="Calibri" w:hAnsi="Calibri"/>
          <w:color w:val="1E293B"/>
          <w:sz w:val="22"/>
          <w:szCs w:val="22"/>
        </w:rPr>
        <w:t xml:space="preserve">Diagnostic decisions and prescribed treatments</w:t>
      </w:r>
    </w:p>
    <w:p>
      <w:pPr>
        <w:pStyle w:val="ListParagraph"/>
        <w:numPr>
          <w:ilvl w:val="0"/>
          <w:numId w:val="2"/>
        </w:numPr>
        <w:spacing w:after="60" w:line="276"/>
      </w:pPr>
      <w:r>
        <w:rPr>
          <w:rFonts w:ascii="Calibri" w:cs="Calibri" w:eastAsia="Calibri" w:hAnsi="Calibri"/>
          <w:color w:val="1E293B"/>
          <w:sz w:val="22"/>
          <w:szCs w:val="22"/>
        </w:rPr>
        <w:t xml:space="preserve">Patient consent records and data access logs</w:t>
      </w:r>
    </w:p>
    <w:p>
      <w:pPr>
        <w:pStyle w:val="ListParagraph"/>
        <w:numPr>
          <w:ilvl w:val="0"/>
          <w:numId w:val="2"/>
        </w:numPr>
        <w:spacing w:after="60" w:line="276"/>
      </w:pPr>
      <w:r>
        <w:rPr>
          <w:rFonts w:ascii="Calibri" w:cs="Calibri" w:eastAsia="Calibri" w:hAnsi="Calibri"/>
          <w:color w:val="1E293B"/>
          <w:sz w:val="22"/>
          <w:szCs w:val="22"/>
        </w:rPr>
        <w:t xml:space="preserve">Follow-up appointment scheduling and outcome tracking</w:t>
      </w:r>
    </w:p>
    <w:p>
      <w:pPr>
        <w:spacing w:after="120" w:line="276"/>
        <w:jc w:val="left"/>
      </w:pPr>
      <w:r>
        <w:rPr>
          <w:rFonts w:ascii="Calibri" w:cs="Calibri" w:eastAsia="Calibri" w:hAnsi="Calibri"/>
          <w:color w:val="1E293B"/>
          <w:sz w:val="22"/>
          <w:szCs w:val="22"/>
        </w:rPr>
        <w:t xml:space="preserve">This creates a comprehensive, tamper-proof medical record that serves both clinical continuity and legal defense in malpractice cases.</w:t>
      </w:r>
    </w:p>
    <w:p>
      <w:pPr>
        <w:pStyle w:val="Heading3"/>
        <w:spacing w:after="120" w:before="240" w:line="276"/>
      </w:pPr>
      <w:r>
        <w:rPr>
          <w:rFonts w:ascii="Times New Roman" w:cs="Times New Roman" w:eastAsia="Times New Roman" w:hAnsi="Times New Roman"/>
          <w:b/>
          <w:bCs/>
          <w:color w:val="1E3A5F"/>
          <w:sz w:val="24"/>
          <w:szCs w:val="24"/>
        </w:rPr>
        <w:t xml:space="preserve">6.3 HNSW for Similar-Patient Retrieval</w:t>
      </w:r>
    </w:p>
    <w:p>
      <w:pPr>
        <w:spacing w:after="120" w:line="276"/>
        <w:jc w:val="left"/>
      </w:pPr>
      <w:r>
        <w:rPr>
          <w:rFonts w:ascii="Calibri" w:cs="Calibri" w:eastAsia="Calibri" w:hAnsi="Calibri"/>
          <w:color w:val="1E293B"/>
          <w:sz w:val="22"/>
          <w:szCs w:val="22"/>
        </w:rPr>
        <w:t xml:space="preserve">Given a new patient's symptoms, vitals, and medical history, the HNSW search retrieves the most similar historical cases across all hospitals—without exposing patient identities. This enables clinicians to reference relevant treatment outcomes and make more informed decisions.</w:t>
      </w:r>
    </w:p>
    <w:p>
      <w:pPr>
        <w:pStyle w:val="Heading3"/>
        <w:spacing w:after="120" w:before="240" w:line="276"/>
      </w:pPr>
      <w:r>
        <w:rPr>
          <w:rFonts w:ascii="Times New Roman" w:cs="Times New Roman" w:eastAsia="Times New Roman" w:hAnsi="Times New Roman"/>
          <w:b/>
          <w:bCs/>
          <w:color w:val="1E3A5F"/>
          <w:sz w:val="24"/>
          <w:szCs w:val="24"/>
        </w:rPr>
        <w:t xml:space="preserve">6.4 Knowledge Hub for Clinical Decision Support</w:t>
      </w:r>
    </w:p>
    <w:p>
      <w:pPr>
        <w:spacing w:after="120" w:line="276"/>
        <w:jc w:val="left"/>
      </w:pPr>
      <w:r>
        <w:rPr>
          <w:rFonts w:ascii="Calibri" w:cs="Calibri" w:eastAsia="Calibri" w:hAnsi="Calibri"/>
          <w:color w:val="1E293B"/>
          <w:sz w:val="22"/>
          <w:szCs w:val="22"/>
        </w:rPr>
        <w:t xml:space="preserve">The Knowledge Hub manages medical guidelines, drug interaction databases, and diagnostic protocols with semantic search capabilities. Clinicians can query for relevant guidelines in natural language, receiving instant, evidence-based recommendations.</w:t>
      </w:r>
    </w:p>
    <w:p>
      <w:pPr>
        <w:pStyle w:val="Heading3"/>
        <w:spacing w:after="120" w:before="240" w:line="276"/>
      </w:pPr>
      <w:r>
        <w:rPr>
          <w:rFonts w:ascii="Times New Roman" w:cs="Times New Roman" w:eastAsia="Times New Roman" w:hAnsi="Times New Roman"/>
          <w:b/>
          <w:bCs/>
          <w:color w:val="1E3A5F"/>
          <w:sz w:val="24"/>
          <w:szCs w:val="24"/>
        </w:rPr>
        <w:t xml:space="preserve">6.5 Expected Benefits</w:t>
      </w:r>
    </w:p>
    <w:p>
      <w:pPr>
        <w:pStyle w:val="ListParagraph"/>
        <w:numPr>
          <w:ilvl w:val="0"/>
          <w:numId w:val="3"/>
        </w:numPr>
        <w:spacing w:after="60" w:line="276"/>
      </w:pPr>
      <w:r>
        <w:rPr>
          <w:rFonts w:ascii="Calibri" w:cs="Calibri" w:eastAsia="Calibri" w:hAnsi="Calibri"/>
          <w:color w:val="1E293B"/>
          <w:sz w:val="22"/>
          <w:szCs w:val="22"/>
        </w:rPr>
        <w:t xml:space="preserve">Early Warning: 15–25% improvement in disease prediction through cross-hospital model training.</w:t>
      </w:r>
    </w:p>
    <w:p>
      <w:pPr>
        <w:pStyle w:val="ListParagraph"/>
        <w:numPr>
          <w:ilvl w:val="0"/>
          <w:numId w:val="3"/>
        </w:numPr>
        <w:spacing w:after="60" w:line="276"/>
      </w:pPr>
      <w:r>
        <w:rPr>
          <w:rFonts w:ascii="Calibri" w:cs="Calibri" w:eastAsia="Calibri" w:hAnsi="Calibri"/>
          <w:color w:val="1E293B"/>
          <w:sz w:val="22"/>
          <w:szCs w:val="22"/>
        </w:rPr>
        <w:t xml:space="preserve">Patient Privacy: Dual protection (DP + data locality) exceeds HIPAA/GDPR requirements.</w:t>
      </w:r>
    </w:p>
    <w:p>
      <w:pPr>
        <w:pStyle w:val="ListParagraph"/>
        <w:numPr>
          <w:ilvl w:val="0"/>
          <w:numId w:val="3"/>
        </w:numPr>
        <w:spacing w:after="60" w:line="276"/>
      </w:pPr>
      <w:r>
        <w:rPr>
          <w:rFonts w:ascii="Calibri" w:cs="Calibri" w:eastAsia="Calibri" w:hAnsi="Calibri"/>
          <w:color w:val="1E293B"/>
          <w:sz w:val="22"/>
          <w:szCs w:val="22"/>
        </w:rPr>
        <w:t xml:space="preserve">Clinical Efficiency: Similar-patient retrieval reduces diagnostic time by 30–40%.</w:t>
      </w:r>
    </w:p>
    <w:p>
      <w:pPr>
        <w:pStyle w:val="ListParagraph"/>
        <w:numPr>
          <w:ilvl w:val="0"/>
          <w:numId w:val="3"/>
        </w:numPr>
        <w:spacing w:after="60" w:line="276"/>
      </w:pPr>
      <w:r>
        <w:rPr>
          <w:rFonts w:ascii="Calibri" w:cs="Calibri" w:eastAsia="Calibri" w:hAnsi="Calibri"/>
          <w:color w:val="1E293B"/>
          <w:sz w:val="22"/>
          <w:szCs w:val="22"/>
        </w:rPr>
        <w:t xml:space="preserve">Legal Protection: Complete audit trail for every telemedicine session.</w:t>
      </w:r>
    </w:p>
    <w:p>
      <w:pPr>
        <w:pStyle w:val="Heading1"/>
      </w:pPr>
      <w:r>
        <w:t xml:space="preserve">7. Deployment &amp; Integration</w:t>
      </w:r>
    </w:p>
    <w:p>
      <w:pPr>
        <w:pStyle w:val="Heading3"/>
        <w:spacing w:after="120" w:before="240" w:line="276"/>
      </w:pPr>
      <w:r>
        <w:rPr>
          <w:rFonts w:ascii="Times New Roman" w:cs="Times New Roman" w:eastAsia="Times New Roman" w:hAnsi="Times New Roman"/>
          <w:b/>
          <w:bCs/>
          <w:color w:val="1E3A5F"/>
          <w:sz w:val="24"/>
          <w:szCs w:val="24"/>
        </w:rPr>
        <w:t xml:space="preserve">7.1 Streamlit Cloud Deployment</w:t>
      </w:r>
    </w:p>
    <w:p>
      <w:pPr>
        <w:spacing w:after="120" w:line="276"/>
        <w:jc w:val="left"/>
      </w:pPr>
      <w:r>
        <w:rPr>
          <w:rFonts w:ascii="Calibri" w:cs="Calibri" w:eastAsia="Calibri" w:hAnsi="Calibri"/>
          <w:color w:val="1E293B"/>
          <w:sz w:val="22"/>
          <w:szCs w:val="22"/>
        </w:rPr>
        <w:t xml:space="preserve">The entire toolkit is deployable on Streamlit Cloud with zero infrastructure management. The TWC-FL platform demonstrates this capability with a 6-tab dashboard covering all core modules. Deployment requires only:</w:t>
      </w:r>
    </w:p>
    <w:p>
      <w:pPr>
        <w:pStyle w:val="ListParagraph"/>
        <w:numPr>
          <w:ilvl w:val="0"/>
          <w:numId w:val="4"/>
        </w:numPr>
        <w:spacing w:after="60" w:line="276"/>
      </w:pPr>
      <w:r>
        <w:rPr>
          <w:rFonts w:ascii="Calibri" w:cs="Calibri" w:eastAsia="Calibri" w:hAnsi="Calibri"/>
          <w:color w:val="1E293B"/>
          <w:sz w:val="22"/>
          <w:szCs w:val="22"/>
        </w:rPr>
        <w:t xml:space="preserve">A GitHub repository containing the Python package and app.py entry point.</w:t>
      </w:r>
    </w:p>
    <w:p>
      <w:pPr>
        <w:pStyle w:val="ListParagraph"/>
        <w:numPr>
          <w:ilvl w:val="0"/>
          <w:numId w:val="4"/>
        </w:numPr>
        <w:spacing w:after="60" w:line="276"/>
      </w:pPr>
      <w:r>
        <w:rPr>
          <w:rFonts w:ascii="Calibri" w:cs="Calibri" w:eastAsia="Calibri" w:hAnsi="Calibri"/>
          <w:color w:val="1E293B"/>
          <w:sz w:val="22"/>
          <w:szCs w:val="22"/>
        </w:rPr>
        <w:t xml:space="preserve">A requirements.txt with three dependencies: streamlit, numpy, pandas.</w:t>
      </w:r>
    </w:p>
    <w:p>
      <w:pPr>
        <w:pStyle w:val="ListParagraph"/>
        <w:numPr>
          <w:ilvl w:val="0"/>
          <w:numId w:val="4"/>
        </w:numPr>
        <w:spacing w:after="60" w:line="276"/>
      </w:pPr>
      <w:r>
        <w:rPr>
          <w:rFonts w:ascii="Calibri" w:cs="Calibri" w:eastAsia="Calibri" w:hAnsi="Calibri"/>
          <w:color w:val="1E293B"/>
          <w:sz w:val="22"/>
          <w:szCs w:val="22"/>
        </w:rPr>
        <w:t xml:space="preserve">Connection to Streamlit Cloud via the web dashboard.</w:t>
      </w:r>
    </w:p>
    <w:p>
      <w:pPr>
        <w:pStyle w:val="Heading3"/>
        <w:spacing w:after="120" w:before="240" w:line="276"/>
      </w:pPr>
      <w:r>
        <w:rPr>
          <w:rFonts w:ascii="Times New Roman" w:cs="Times New Roman" w:eastAsia="Times New Roman" w:hAnsi="Times New Roman"/>
          <w:b/>
          <w:bCs/>
          <w:color w:val="1E3A5F"/>
          <w:sz w:val="24"/>
          <w:szCs w:val="24"/>
        </w:rPr>
        <w:t xml:space="preserve">7.2 gRPC API Integration</w:t>
      </w:r>
    </w:p>
    <w:p>
      <w:pPr>
        <w:spacing w:after="120" w:line="276"/>
        <w:jc w:val="left"/>
      </w:pPr>
      <w:r>
        <w:rPr>
          <w:rFonts w:ascii="Calibri" w:cs="Calibri" w:eastAsia="Calibri" w:hAnsi="Calibri"/>
          <w:color w:val="1E293B"/>
          <w:sz w:val="22"/>
          <w:szCs w:val="22"/>
        </w:rPr>
        <w:t xml:space="preserve">For production deployments requiring programmatic access, the Rust backend provides gRPC endpoints for federated training, model aggregation, audit chain queries, and HNSW search. The Protocol Buffer definitions ensure type-safe, language-agnostic API contracts.</w:t>
      </w:r>
    </w:p>
    <w:p>
      <w:pPr>
        <w:pStyle w:val="Heading3"/>
        <w:spacing w:after="120" w:before="240" w:line="276"/>
      </w:pPr>
      <w:r>
        <w:rPr>
          <w:rFonts w:ascii="Times New Roman" w:cs="Times New Roman" w:eastAsia="Times New Roman" w:hAnsi="Times New Roman"/>
          <w:b/>
          <w:bCs/>
          <w:color w:val="1E3A5F"/>
          <w:sz w:val="24"/>
          <w:szCs w:val="24"/>
        </w:rPr>
        <w:t xml:space="preserve">7.3 Scalability Considerations</w:t>
      </w:r>
    </w:p>
    <w:p>
      <w:pPr>
        <w:pStyle w:val="ListParagraph"/>
        <w:numPr>
          <w:ilvl w:val="0"/>
          <w:numId w:val="5"/>
        </w:numPr>
        <w:spacing w:after="60" w:line="276"/>
      </w:pPr>
      <w:r>
        <w:rPr>
          <w:rFonts w:ascii="Calibri" w:cs="Calibri" w:eastAsia="Calibri" w:hAnsi="Calibri"/>
          <w:color w:val="1E293B"/>
          <w:sz w:val="22"/>
          <w:szCs w:val="22"/>
        </w:rPr>
        <w:t xml:space="preserve">Communication Cost: Tiny backbone (~7MB/round) is feasible for institutions with standard broadband.</w:t>
      </w:r>
    </w:p>
    <w:p>
      <w:pPr>
        <w:pStyle w:val="ListParagraph"/>
        <w:numPr>
          <w:ilvl w:val="0"/>
          <w:numId w:val="5"/>
        </w:numPr>
        <w:spacing w:after="60" w:line="276"/>
      </w:pPr>
      <w:r>
        <w:rPr>
          <w:rFonts w:ascii="Calibri" w:cs="Calibri" w:eastAsia="Calibri" w:hAnsi="Calibri"/>
          <w:color w:val="1E293B"/>
          <w:sz w:val="22"/>
          <w:szCs w:val="22"/>
        </w:rPr>
        <w:t xml:space="preserve">Concurrency: Rust backend handles concurrent client connections with minimal overhead.</w:t>
      </w:r>
    </w:p>
    <w:p>
      <w:pPr>
        <w:pStyle w:val="ListParagraph"/>
        <w:numPr>
          <w:ilvl w:val="0"/>
          <w:numId w:val="5"/>
        </w:numPr>
        <w:spacing w:after="60" w:line="276"/>
      </w:pPr>
      <w:r>
        <w:rPr>
          <w:rFonts w:ascii="Calibri" w:cs="Calibri" w:eastAsia="Calibri" w:hAnsi="Calibri"/>
          <w:color w:val="1E293B"/>
          <w:sz w:val="22"/>
          <w:szCs w:val="22"/>
        </w:rPr>
        <w:t xml:space="preserve">Storage: Audit chain grows linearly; SQLite for small deployments, PostgreSQL for enterprise scale.</w:t>
      </w:r>
    </w:p>
    <w:p>
      <w:pPr>
        <w:pStyle w:val="Heading1"/>
      </w:pPr>
      <w:r>
        <w:t xml:space="preserve">8. Conclusion &amp; Future Directions</w:t>
      </w:r>
    </w:p>
    <w:p>
      <w:pPr>
        <w:spacing w:after="120" w:line="276"/>
        <w:jc w:val="left"/>
      </w:pPr>
      <w:r>
        <w:rPr>
          <w:rFonts w:ascii="Calibri" w:cs="Calibri" w:eastAsia="Calibri" w:hAnsi="Calibri"/>
          <w:color w:val="1E293B"/>
          <w:sz w:val="22"/>
          <w:szCs w:val="22"/>
        </w:rPr>
        <w:t xml:space="preserve">The privacy-preserving AI infrastructure presented in this guide addresses a universal challenge across agriculture, food technology, pharmaceutical research, and healthcare: how to collaborate on AI model development without exposing sensitive data. The toolkit's modular architecture allows each component—federated learning, differential privacy, blockchain audit, vector search, Bayesian optimization—to be deployed independently or composed into domain-specific solutions.</w:t>
      </w:r>
    </w:p>
    <w:p>
      <w:pPr>
        <w:spacing w:after="120" w:line="276"/>
        <w:jc w:val="left"/>
      </w:pPr>
      <w:r>
        <w:rPr>
          <w:rFonts w:ascii="Calibri" w:cs="Calibri" w:eastAsia="Calibri" w:hAnsi="Calibri"/>
          <w:color w:val="1E293B"/>
          <w:sz w:val="22"/>
          <w:szCs w:val="22"/>
        </w:rPr>
        <w:t xml:space="preserve">The proven track record across organoid research, embodied intelligence, cultural heritage, and catalyst optimization demonstrates the framework's versatility and reliability. With pure NumPy implementation, Streamlit Cloud compatibility, and Rust backend performance, the toolkit is ready for immediate deployment.</w:t>
      </w:r>
    </w:p>
    <w:p>
      <w:pPr>
        <w:pStyle w:val="Heading3"/>
        <w:spacing w:after="120" w:before="240" w:line="276"/>
      </w:pPr>
      <w:r>
        <w:rPr>
          <w:rFonts w:ascii="Times New Roman" w:cs="Times New Roman" w:eastAsia="Times New Roman" w:hAnsi="Times New Roman"/>
          <w:b/>
          <w:bCs/>
          <w:color w:val="1E3A5F"/>
          <w:sz w:val="24"/>
          <w:szCs w:val="24"/>
        </w:rPr>
        <w:t xml:space="preserve">8.1 Planned Extensions</w:t>
      </w:r>
    </w:p>
    <w:p>
      <w:pPr>
        <w:pStyle w:val="ListParagraph"/>
        <w:numPr>
          <w:ilvl w:val="0"/>
          <w:numId w:val="6"/>
        </w:numPr>
        <w:spacing w:after="60" w:line="276"/>
      </w:pPr>
      <w:r>
        <w:rPr>
          <w:rFonts w:ascii="Calibri" w:cs="Calibri" w:eastAsia="Calibri" w:hAnsi="Calibri"/>
          <w:color w:val="1E293B"/>
          <w:sz w:val="22"/>
          <w:szCs w:val="22"/>
        </w:rPr>
        <w:t xml:space="preserve">VLA for Embodied Agriculture: Extending the Vision-Language-Action model to agricultural robotics for autonomous crop monitoring and harvesting.</w:t>
      </w:r>
    </w:p>
    <w:p>
      <w:pPr>
        <w:pStyle w:val="ListParagraph"/>
        <w:numPr>
          <w:ilvl w:val="0"/>
          <w:numId w:val="6"/>
        </w:numPr>
        <w:spacing w:after="60" w:line="276"/>
      </w:pPr>
      <w:r>
        <w:rPr>
          <w:rFonts w:ascii="Calibri" w:cs="Calibri" w:eastAsia="Calibri" w:hAnsi="Calibri"/>
          <w:color w:val="1E293B"/>
          <w:sz w:val="22"/>
          <w:szCs w:val="22"/>
        </w:rPr>
        <w:t xml:space="preserve">Federated LLM for Clinical NLP: Enabling cross-hospital training of medical language models for clinical note analysis and drug interaction detection.</w:t>
      </w:r>
    </w:p>
    <w:p>
      <w:pPr>
        <w:pStyle w:val="ListParagraph"/>
        <w:numPr>
          <w:ilvl w:val="0"/>
          <w:numId w:val="6"/>
        </w:numPr>
        <w:spacing w:after="60" w:line="276"/>
      </w:pPr>
      <w:r>
        <w:rPr>
          <w:rFonts w:ascii="Calibri" w:cs="Calibri" w:eastAsia="Calibri" w:hAnsi="Calibri"/>
          <w:color w:val="1E293B"/>
          <w:sz w:val="22"/>
          <w:szCs w:val="22"/>
        </w:rPr>
        <w:t xml:space="preserve">Multi-Modal Fusion: Combining satellite imagery (agriculture), sensor data (food safety), imaging (pharma), and EHR (healthcare) into unified federated models.</w:t>
      </w:r>
    </w:p>
    <w:p>
      <w:pPr>
        <w:pStyle w:val="Heading3"/>
        <w:spacing w:after="120" w:before="240" w:line="276"/>
      </w:pPr>
      <w:r>
        <w:rPr>
          <w:rFonts w:ascii="Times New Roman" w:cs="Times New Roman" w:eastAsia="Times New Roman" w:hAnsi="Times New Roman"/>
          <w:b/>
          <w:bCs/>
          <w:color w:val="1E3A5F"/>
          <w:sz w:val="24"/>
          <w:szCs w:val="24"/>
        </w:rPr>
        <w:t xml:space="preserve">8.2 Call for Collaboration</w:t>
      </w:r>
    </w:p>
    <w:p>
      <w:pPr>
        <w:spacing w:after="120" w:line="276"/>
        <w:jc w:val="left"/>
      </w:pPr>
      <w:r>
        <w:rPr>
          <w:rFonts w:ascii="Calibri" w:cs="Calibri" w:eastAsia="Calibri" w:hAnsi="Calibri"/>
          <w:color w:val="1E293B"/>
          <w:sz w:val="22"/>
          <w:szCs w:val="22"/>
        </w:rPr>
        <w:t xml:space="preserve">We invite research institutions, hospitals, agricultural enterprises, food companies, and pharmaceutical organizations to join the federated learning network. Together, we can build more accurate AI models while respecting data privacy and regulatory requirements.</w:t>
      </w:r>
    </w:p>
    <w:p>
      <w:pPr>
        <w:spacing w:after="120" w:line="276"/>
        <w:jc w:val="left"/>
      </w:pPr>
      <w:r>
        <w:rPr>
          <w:rFonts w:ascii="Calibri" w:cs="Calibri" w:eastAsia="Calibri" w:hAnsi="Calibri"/>
          <w:color w:val="1E293B"/>
          <w:sz w:val="22"/>
          <w:szCs w:val="22"/>
        </w:rPr>
        <w:t xml:space="preserve">For collaboration inquiries, please contact Prof. Dechang Xu at Rongchuang College, Xi'an Jiaotong-Liverpool University.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Application Guide — AI &amp; BioTech Forum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2026-04-30T11:37:00.716Z</dcterms:created>
  <dcterms:modified xsi:type="dcterms:W3CDTF">2026-04-30T11:37:00.716Z</dcterms:modified>
</cp:coreProperties>
</file>

<file path=docProps/custom.xml><?xml version="1.0" encoding="utf-8"?>
<Properties xmlns="http://schemas.openxmlformats.org/officeDocument/2006/custom-properties" xmlns:vt="http://schemas.openxmlformats.org/officeDocument/2006/docPropsVTypes"/>
</file>