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212B" w:rsidRDefault="008B212B" w:rsidP="00F76E07">
      <w:pPr>
        <w:spacing w:line="276" w:lineRule="auto"/>
        <w:jc w:val="both"/>
        <w:rPr>
          <w:rFonts w:ascii="Arial" w:hAnsi="Arial" w:cs="Arial"/>
          <w:b/>
          <w:bCs/>
          <w:szCs w:val="22"/>
        </w:rPr>
      </w:pPr>
      <w:r w:rsidRPr="008B212B">
        <w:rPr>
          <w:rFonts w:ascii="Arial" w:hAnsi="Arial" w:cs="Arial"/>
          <w:b/>
          <w:bCs/>
          <w:szCs w:val="22"/>
        </w:rPr>
        <w:drawing>
          <wp:inline distT="0" distB="0" distL="0" distR="0" wp14:anchorId="7E7E99EC" wp14:editId="642DF422">
            <wp:extent cx="5943600" cy="340423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404235"/>
                    </a:xfrm>
                    <a:prstGeom prst="rect">
                      <a:avLst/>
                    </a:prstGeom>
                  </pic:spPr>
                </pic:pic>
              </a:graphicData>
            </a:graphic>
          </wp:inline>
        </w:drawing>
      </w:r>
    </w:p>
    <w:p w:rsidR="008B212B" w:rsidRDefault="008B212B" w:rsidP="00F76E07">
      <w:pPr>
        <w:spacing w:line="276" w:lineRule="auto"/>
        <w:jc w:val="both"/>
        <w:rPr>
          <w:rFonts w:ascii="Arial" w:hAnsi="Arial" w:cs="Arial"/>
          <w:b/>
          <w:bCs/>
          <w:szCs w:val="22"/>
        </w:rPr>
      </w:pPr>
    </w:p>
    <w:p w:rsidR="008B212B" w:rsidRPr="008B212B" w:rsidRDefault="008B212B" w:rsidP="008B212B">
      <w:pPr>
        <w:spacing w:line="276" w:lineRule="auto"/>
        <w:jc w:val="both"/>
        <w:rPr>
          <w:rFonts w:ascii="Arial" w:hAnsi="Arial" w:cs="Arial"/>
          <w:szCs w:val="22"/>
        </w:rPr>
      </w:pPr>
      <w:r w:rsidRPr="008B212B">
        <w:rPr>
          <w:rFonts w:ascii="Arial" w:hAnsi="Arial" w:cs="Arial"/>
          <w:szCs w:val="22"/>
        </w:rPr>
        <w:t>What the Chart Tells Us</w:t>
      </w:r>
    </w:p>
    <w:p w:rsidR="008B212B" w:rsidRPr="008B212B" w:rsidRDefault="008B212B" w:rsidP="008B212B">
      <w:pPr>
        <w:spacing w:line="276" w:lineRule="auto"/>
        <w:jc w:val="both"/>
        <w:rPr>
          <w:rFonts w:ascii="Arial" w:hAnsi="Arial" w:cs="Arial"/>
          <w:szCs w:val="22"/>
        </w:rPr>
      </w:pPr>
      <w:r w:rsidRPr="008B212B">
        <w:rPr>
          <w:rFonts w:ascii="Arial" w:hAnsi="Arial" w:cs="Arial"/>
          <w:szCs w:val="22"/>
        </w:rPr>
        <w:t>The chart shows that 79 respondents (66.4%) do not currently invest in financial assets, while 40 respondents (33.6%) are actively investing. This indicates that a large portion of the surveyed population has limited participation in financial markets.</w:t>
      </w:r>
    </w:p>
    <w:p w:rsidR="008B212B" w:rsidRPr="008B212B" w:rsidRDefault="008B212B" w:rsidP="008B212B">
      <w:pPr>
        <w:spacing w:line="276" w:lineRule="auto"/>
        <w:jc w:val="both"/>
        <w:rPr>
          <w:rFonts w:ascii="Arial" w:hAnsi="Arial" w:cs="Arial"/>
          <w:szCs w:val="22"/>
        </w:rPr>
      </w:pPr>
      <w:r w:rsidRPr="008B212B">
        <w:rPr>
          <w:rFonts w:ascii="Arial" w:hAnsi="Arial" w:cs="Arial"/>
          <w:szCs w:val="22"/>
        </w:rPr>
        <w:t>Interpretation</w:t>
      </w:r>
    </w:p>
    <w:p w:rsidR="008B212B" w:rsidRPr="008B212B" w:rsidRDefault="008B212B" w:rsidP="008B212B">
      <w:pPr>
        <w:spacing w:line="276" w:lineRule="auto"/>
        <w:jc w:val="both"/>
        <w:rPr>
          <w:rFonts w:ascii="Arial" w:hAnsi="Arial" w:cs="Arial"/>
          <w:szCs w:val="22"/>
        </w:rPr>
      </w:pPr>
      <w:r w:rsidRPr="008B212B">
        <w:rPr>
          <w:rFonts w:ascii="Arial" w:hAnsi="Arial" w:cs="Arial"/>
          <w:szCs w:val="22"/>
        </w:rPr>
        <w:t xml:space="preserve">The results suggest that financial investment activity among respondents is relatively low, with most individuals not yet engaged in traditional investment options such as stocks, bonds, or digital assets. This may reflect limited financial exposure, lack of awareness, or cautious financial </w:t>
      </w:r>
      <w:proofErr w:type="spellStart"/>
      <w:r w:rsidRPr="008B212B">
        <w:rPr>
          <w:rFonts w:ascii="Arial" w:hAnsi="Arial" w:cs="Arial"/>
          <w:szCs w:val="22"/>
        </w:rPr>
        <w:t>behaviour</w:t>
      </w:r>
      <w:proofErr w:type="spellEnd"/>
      <w:r w:rsidRPr="008B212B">
        <w:rPr>
          <w:rFonts w:ascii="Arial" w:hAnsi="Arial" w:cs="Arial"/>
          <w:szCs w:val="22"/>
        </w:rPr>
        <w:t>. However, the presence of a smaller group of active investors indicates that some level of investment experience already exists, which could support the potential adoption of new financial instruments such as TER if awareness and trust increase.</w:t>
      </w:r>
    </w:p>
    <w:p w:rsidR="008B212B" w:rsidRDefault="008B212B" w:rsidP="00F76E07">
      <w:pPr>
        <w:spacing w:line="276" w:lineRule="auto"/>
        <w:jc w:val="both"/>
        <w:rPr>
          <w:rFonts w:ascii="Arial" w:hAnsi="Arial" w:cs="Arial"/>
          <w:b/>
          <w:bCs/>
          <w:szCs w:val="22"/>
        </w:rPr>
      </w:pPr>
    </w:p>
    <w:p w:rsidR="008B212B" w:rsidRDefault="008B212B" w:rsidP="00F76E07">
      <w:pPr>
        <w:spacing w:line="276" w:lineRule="auto"/>
        <w:jc w:val="both"/>
        <w:rPr>
          <w:rFonts w:ascii="Arial" w:hAnsi="Arial" w:cs="Arial"/>
          <w:b/>
          <w:bCs/>
          <w:szCs w:val="22"/>
        </w:rPr>
      </w:pPr>
    </w:p>
    <w:p w:rsidR="008B212B" w:rsidRDefault="008B212B" w:rsidP="00F76E07">
      <w:pPr>
        <w:spacing w:line="276" w:lineRule="auto"/>
        <w:jc w:val="both"/>
        <w:rPr>
          <w:rFonts w:ascii="Arial" w:hAnsi="Arial" w:cs="Arial"/>
          <w:b/>
          <w:bCs/>
          <w:szCs w:val="22"/>
        </w:rPr>
      </w:pPr>
    </w:p>
    <w:p w:rsidR="008B212B" w:rsidRDefault="008B212B" w:rsidP="00F76E07">
      <w:pPr>
        <w:spacing w:line="276" w:lineRule="auto"/>
        <w:jc w:val="both"/>
        <w:rPr>
          <w:rFonts w:ascii="Arial" w:hAnsi="Arial" w:cs="Arial"/>
          <w:b/>
          <w:bCs/>
          <w:szCs w:val="22"/>
        </w:rPr>
      </w:pPr>
    </w:p>
    <w:p w:rsidR="008B212B" w:rsidRDefault="008B212B" w:rsidP="00F76E07">
      <w:pPr>
        <w:spacing w:line="276" w:lineRule="auto"/>
        <w:jc w:val="both"/>
        <w:rPr>
          <w:rFonts w:ascii="Arial" w:hAnsi="Arial" w:cs="Arial"/>
          <w:b/>
          <w:bCs/>
          <w:szCs w:val="22"/>
        </w:rPr>
      </w:pPr>
    </w:p>
    <w:p w:rsidR="008B212B" w:rsidRDefault="008B212B" w:rsidP="00F76E07">
      <w:pPr>
        <w:spacing w:line="276" w:lineRule="auto"/>
        <w:jc w:val="both"/>
        <w:rPr>
          <w:rFonts w:ascii="Arial" w:hAnsi="Arial" w:cs="Arial"/>
          <w:b/>
          <w:bCs/>
          <w:szCs w:val="22"/>
        </w:rPr>
      </w:pPr>
      <w:r w:rsidRPr="008B212B">
        <w:rPr>
          <w:rFonts w:ascii="Arial" w:hAnsi="Arial" w:cs="Arial"/>
          <w:b/>
          <w:bCs/>
          <w:szCs w:val="22"/>
        </w:rPr>
        <w:lastRenderedPageBreak/>
        <w:drawing>
          <wp:inline distT="0" distB="0" distL="0" distR="0" wp14:anchorId="11C4922C" wp14:editId="301F4EED">
            <wp:extent cx="5943600" cy="3390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90900"/>
                    </a:xfrm>
                    <a:prstGeom prst="rect">
                      <a:avLst/>
                    </a:prstGeom>
                  </pic:spPr>
                </pic:pic>
              </a:graphicData>
            </a:graphic>
          </wp:inline>
        </w:drawing>
      </w:r>
    </w:p>
    <w:p w:rsidR="008B212B" w:rsidRPr="008B212B" w:rsidRDefault="008B212B" w:rsidP="008B212B">
      <w:pPr>
        <w:spacing w:line="276" w:lineRule="auto"/>
        <w:jc w:val="both"/>
        <w:rPr>
          <w:rFonts w:ascii="Arial" w:hAnsi="Arial" w:cs="Arial"/>
          <w:szCs w:val="22"/>
        </w:rPr>
      </w:pPr>
      <w:r w:rsidRPr="008B212B">
        <w:rPr>
          <w:rFonts w:ascii="Arial" w:hAnsi="Arial" w:cs="Arial"/>
          <w:szCs w:val="22"/>
        </w:rPr>
        <w:t>What the Chart Tells Us</w:t>
      </w:r>
    </w:p>
    <w:p w:rsidR="008B212B" w:rsidRPr="008B212B" w:rsidRDefault="008B212B" w:rsidP="008B212B">
      <w:pPr>
        <w:spacing w:line="276" w:lineRule="auto"/>
        <w:jc w:val="both"/>
        <w:rPr>
          <w:rFonts w:ascii="Arial" w:hAnsi="Arial" w:cs="Arial"/>
          <w:szCs w:val="22"/>
        </w:rPr>
      </w:pPr>
      <w:r w:rsidRPr="008B212B">
        <w:rPr>
          <w:rFonts w:ascii="Arial" w:hAnsi="Arial" w:cs="Arial"/>
          <w:szCs w:val="22"/>
        </w:rPr>
        <w:t>The chart shows that 78 respondents expressed willingness to invest in gold, while 32 respondents indicated they might invest, and 9 respondents said they would not invest in gold. This demonstrates that a strong majority of participa</w:t>
      </w:r>
      <w:bookmarkStart w:id="0" w:name="_GoBack"/>
      <w:bookmarkEnd w:id="0"/>
      <w:r w:rsidRPr="008B212B">
        <w:rPr>
          <w:rFonts w:ascii="Arial" w:hAnsi="Arial" w:cs="Arial"/>
          <w:szCs w:val="22"/>
        </w:rPr>
        <w:t>nts show positive or potential interest in gold investment.</w:t>
      </w:r>
    </w:p>
    <w:p w:rsidR="008B212B" w:rsidRPr="008B212B" w:rsidRDefault="008B212B" w:rsidP="008B212B">
      <w:pPr>
        <w:spacing w:line="276" w:lineRule="auto"/>
        <w:jc w:val="both"/>
        <w:rPr>
          <w:rFonts w:ascii="Arial" w:hAnsi="Arial" w:cs="Arial"/>
          <w:szCs w:val="22"/>
        </w:rPr>
      </w:pPr>
      <w:r w:rsidRPr="008B212B">
        <w:rPr>
          <w:rFonts w:ascii="Arial" w:hAnsi="Arial" w:cs="Arial"/>
          <w:szCs w:val="22"/>
        </w:rPr>
        <w:t>Interpretation</w:t>
      </w:r>
    </w:p>
    <w:p w:rsidR="008B212B" w:rsidRPr="008B212B" w:rsidRDefault="008B212B" w:rsidP="008B212B">
      <w:pPr>
        <w:spacing w:line="276" w:lineRule="auto"/>
        <w:jc w:val="both"/>
        <w:rPr>
          <w:rFonts w:ascii="Arial" w:hAnsi="Arial" w:cs="Arial"/>
          <w:szCs w:val="22"/>
        </w:rPr>
      </w:pPr>
      <w:r w:rsidRPr="008B212B">
        <w:rPr>
          <w:rFonts w:ascii="Arial" w:hAnsi="Arial" w:cs="Arial"/>
          <w:szCs w:val="22"/>
        </w:rPr>
        <w:t>The high level of interest in gold suggests that respondents generally trust gold as a stable and reliable store of value. This is important in the context of TER, as the asset is backed by gold. The results imply that linking a digital asset to gold may increase confidence and acceptance among potential users, since gold already holds strong credibility as an investment asset.</w:t>
      </w:r>
    </w:p>
    <w:p w:rsidR="008B212B" w:rsidRDefault="008B212B" w:rsidP="00F76E07">
      <w:pPr>
        <w:spacing w:line="276" w:lineRule="auto"/>
        <w:jc w:val="both"/>
        <w:rPr>
          <w:rFonts w:ascii="Arial" w:hAnsi="Arial" w:cs="Arial"/>
          <w:b/>
          <w:bCs/>
          <w:szCs w:val="22"/>
        </w:rPr>
      </w:pPr>
    </w:p>
    <w:p w:rsidR="008B212B" w:rsidRDefault="008B212B" w:rsidP="00F76E07">
      <w:pPr>
        <w:spacing w:line="276" w:lineRule="auto"/>
        <w:jc w:val="both"/>
        <w:rPr>
          <w:rFonts w:ascii="Arial" w:hAnsi="Arial" w:cs="Arial"/>
          <w:b/>
          <w:bCs/>
          <w:szCs w:val="22"/>
        </w:rPr>
      </w:pPr>
    </w:p>
    <w:p w:rsidR="008B212B" w:rsidRDefault="008B212B" w:rsidP="00F76E07">
      <w:pPr>
        <w:spacing w:line="276" w:lineRule="auto"/>
        <w:jc w:val="both"/>
        <w:rPr>
          <w:rFonts w:ascii="Arial" w:hAnsi="Arial" w:cs="Arial"/>
          <w:b/>
          <w:bCs/>
          <w:szCs w:val="22"/>
        </w:rPr>
      </w:pPr>
    </w:p>
    <w:p w:rsidR="008B212B" w:rsidRDefault="008B212B" w:rsidP="00F76E07">
      <w:pPr>
        <w:spacing w:line="276" w:lineRule="auto"/>
        <w:jc w:val="both"/>
        <w:rPr>
          <w:rFonts w:ascii="Arial" w:hAnsi="Arial" w:cs="Arial"/>
          <w:b/>
          <w:bCs/>
          <w:szCs w:val="22"/>
        </w:rPr>
      </w:pPr>
    </w:p>
    <w:p w:rsidR="008B212B" w:rsidRDefault="008B212B" w:rsidP="00F76E07">
      <w:pPr>
        <w:spacing w:line="276" w:lineRule="auto"/>
        <w:jc w:val="both"/>
        <w:rPr>
          <w:rFonts w:ascii="Arial" w:hAnsi="Arial" w:cs="Arial"/>
          <w:b/>
          <w:bCs/>
          <w:szCs w:val="22"/>
        </w:rPr>
      </w:pPr>
    </w:p>
    <w:p w:rsidR="008B212B" w:rsidRDefault="008B212B" w:rsidP="00F76E07">
      <w:pPr>
        <w:spacing w:line="276" w:lineRule="auto"/>
        <w:jc w:val="both"/>
        <w:rPr>
          <w:rFonts w:ascii="Arial" w:hAnsi="Arial" w:cs="Arial"/>
          <w:b/>
          <w:bCs/>
          <w:szCs w:val="22"/>
        </w:rPr>
      </w:pPr>
    </w:p>
    <w:p w:rsidR="008B212B" w:rsidRDefault="008B212B" w:rsidP="00F76E07">
      <w:pPr>
        <w:spacing w:line="276" w:lineRule="auto"/>
        <w:jc w:val="both"/>
        <w:rPr>
          <w:rFonts w:ascii="Arial" w:hAnsi="Arial" w:cs="Arial"/>
          <w:b/>
          <w:bCs/>
          <w:szCs w:val="22"/>
        </w:rPr>
      </w:pPr>
    </w:p>
    <w:p w:rsidR="008B212B" w:rsidRDefault="008B212B" w:rsidP="00F76E07">
      <w:pPr>
        <w:spacing w:line="276" w:lineRule="auto"/>
        <w:jc w:val="both"/>
        <w:rPr>
          <w:rFonts w:ascii="Arial" w:hAnsi="Arial" w:cs="Arial"/>
          <w:b/>
          <w:bCs/>
          <w:szCs w:val="22"/>
        </w:rPr>
      </w:pPr>
    </w:p>
    <w:p w:rsidR="008B212B" w:rsidRDefault="008B212B" w:rsidP="00F76E07">
      <w:pPr>
        <w:spacing w:line="276" w:lineRule="auto"/>
        <w:jc w:val="both"/>
        <w:rPr>
          <w:rFonts w:ascii="Arial" w:hAnsi="Arial" w:cs="Arial"/>
          <w:b/>
          <w:bCs/>
          <w:szCs w:val="22"/>
        </w:rPr>
      </w:pPr>
    </w:p>
    <w:p w:rsidR="008B212B" w:rsidRDefault="008B212B" w:rsidP="00F76E07">
      <w:pPr>
        <w:spacing w:line="276" w:lineRule="auto"/>
        <w:jc w:val="both"/>
        <w:rPr>
          <w:rFonts w:ascii="Arial" w:hAnsi="Arial" w:cs="Arial"/>
          <w:b/>
          <w:bCs/>
          <w:szCs w:val="22"/>
        </w:rPr>
      </w:pPr>
    </w:p>
    <w:p w:rsidR="008B212B" w:rsidRDefault="008B212B" w:rsidP="00F76E07">
      <w:pPr>
        <w:spacing w:line="276" w:lineRule="auto"/>
        <w:jc w:val="both"/>
        <w:rPr>
          <w:rFonts w:ascii="Arial" w:hAnsi="Arial" w:cs="Arial"/>
          <w:b/>
          <w:bCs/>
          <w:szCs w:val="22"/>
        </w:rPr>
      </w:pPr>
    </w:p>
    <w:p w:rsidR="00936A8A" w:rsidRPr="00F76E07" w:rsidRDefault="001B2D7F" w:rsidP="00F76E07">
      <w:pPr>
        <w:spacing w:line="276" w:lineRule="auto"/>
        <w:jc w:val="both"/>
        <w:rPr>
          <w:rFonts w:ascii="Arial" w:hAnsi="Arial" w:cs="Arial"/>
          <w:b/>
          <w:bCs/>
          <w:szCs w:val="22"/>
        </w:rPr>
      </w:pPr>
      <w:r w:rsidRPr="00F76E07">
        <w:rPr>
          <w:rFonts w:ascii="Arial" w:hAnsi="Arial" w:cs="Arial"/>
          <w:b/>
          <w:bCs/>
          <w:szCs w:val="22"/>
        </w:rPr>
        <w:t>Market Stability Analysis</w:t>
      </w:r>
    </w:p>
    <w:p w:rsidR="001B2D7F" w:rsidRPr="00F76E07" w:rsidRDefault="001B2D7F" w:rsidP="00F76E07">
      <w:pPr>
        <w:spacing w:line="276" w:lineRule="auto"/>
        <w:jc w:val="both"/>
        <w:rPr>
          <w:rFonts w:ascii="Arial" w:hAnsi="Arial" w:cs="Arial"/>
          <w:szCs w:val="22"/>
        </w:rPr>
      </w:pPr>
      <w:r w:rsidRPr="00F76E07">
        <w:rPr>
          <w:rFonts w:ascii="Arial" w:hAnsi="Arial" w:cs="Arial"/>
          <w:noProof/>
          <w:szCs w:val="22"/>
          <w:lang w:bidi="dz-BT"/>
        </w:rPr>
        <w:drawing>
          <wp:inline distT="0" distB="0" distL="0" distR="0" wp14:anchorId="1E474520" wp14:editId="0006C887">
            <wp:extent cx="5943600" cy="2917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17825"/>
                    </a:xfrm>
                    <a:prstGeom prst="rect">
                      <a:avLst/>
                    </a:prstGeom>
                  </pic:spPr>
                </pic:pic>
              </a:graphicData>
            </a:graphic>
          </wp:inline>
        </w:drawing>
      </w:r>
    </w:p>
    <w:p w:rsidR="001B2D7F" w:rsidRPr="00F76E07" w:rsidRDefault="001B2D7F" w:rsidP="00F76E07">
      <w:pPr>
        <w:spacing w:line="276" w:lineRule="auto"/>
        <w:jc w:val="both"/>
        <w:rPr>
          <w:rFonts w:ascii="Arial" w:hAnsi="Arial" w:cs="Arial"/>
          <w:b/>
          <w:bCs/>
          <w:szCs w:val="22"/>
        </w:rPr>
      </w:pPr>
      <w:r w:rsidRPr="00F76E07">
        <w:rPr>
          <w:rFonts w:ascii="Arial" w:hAnsi="Arial" w:cs="Arial"/>
          <w:b/>
          <w:bCs/>
          <w:szCs w:val="22"/>
        </w:rPr>
        <w:t>What it shows:</w:t>
      </w:r>
    </w:p>
    <w:p w:rsidR="001B2D7F" w:rsidRPr="00F76E07" w:rsidRDefault="001B2D7F" w:rsidP="00F76E07">
      <w:pPr>
        <w:spacing w:line="276" w:lineRule="auto"/>
        <w:jc w:val="both"/>
        <w:rPr>
          <w:rFonts w:ascii="Arial" w:hAnsi="Arial" w:cs="Arial"/>
          <w:szCs w:val="22"/>
        </w:rPr>
      </w:pPr>
      <w:r w:rsidRPr="00F76E07">
        <w:rPr>
          <w:rFonts w:ascii="Arial" w:hAnsi="Arial" w:cs="Arial"/>
          <w:szCs w:val="22"/>
        </w:rPr>
        <w:t xml:space="preserve">A time-series comparison of Gold, </w:t>
      </w:r>
      <w:proofErr w:type="spellStart"/>
      <w:r w:rsidRPr="00F76E07">
        <w:rPr>
          <w:rFonts w:ascii="Arial" w:hAnsi="Arial" w:cs="Arial"/>
          <w:szCs w:val="22"/>
        </w:rPr>
        <w:t>Bitcoin</w:t>
      </w:r>
      <w:proofErr w:type="spellEnd"/>
      <w:r w:rsidRPr="00F76E07">
        <w:rPr>
          <w:rFonts w:ascii="Arial" w:hAnsi="Arial" w:cs="Arial"/>
          <w:szCs w:val="22"/>
        </w:rPr>
        <w:t xml:space="preserve">, and </w:t>
      </w:r>
      <w:proofErr w:type="spellStart"/>
      <w:r w:rsidRPr="00F76E07">
        <w:rPr>
          <w:rFonts w:ascii="Arial" w:hAnsi="Arial" w:cs="Arial"/>
          <w:szCs w:val="22"/>
        </w:rPr>
        <w:t>Ethereum</w:t>
      </w:r>
      <w:proofErr w:type="spellEnd"/>
      <w:r w:rsidRPr="00F76E07">
        <w:rPr>
          <w:rFonts w:ascii="Arial" w:hAnsi="Arial" w:cs="Arial"/>
          <w:szCs w:val="22"/>
        </w:rPr>
        <w:t xml:space="preserve"> prices from 2020 to 2025.</w:t>
      </w:r>
    </w:p>
    <w:p w:rsidR="001B2D7F" w:rsidRPr="00F76E07" w:rsidRDefault="001B2D7F" w:rsidP="00F76E07">
      <w:pPr>
        <w:spacing w:line="276" w:lineRule="auto"/>
        <w:jc w:val="both"/>
        <w:rPr>
          <w:rFonts w:ascii="Arial" w:hAnsi="Arial" w:cs="Arial"/>
          <w:b/>
          <w:bCs/>
          <w:szCs w:val="22"/>
        </w:rPr>
      </w:pPr>
      <w:r w:rsidRPr="00F76E07">
        <w:rPr>
          <w:rFonts w:ascii="Arial" w:hAnsi="Arial" w:cs="Arial"/>
          <w:b/>
          <w:bCs/>
          <w:szCs w:val="22"/>
        </w:rPr>
        <w:t>Key insights:</w:t>
      </w:r>
    </w:p>
    <w:p w:rsidR="001B2D7F" w:rsidRPr="00F76E07" w:rsidRDefault="001B2D7F" w:rsidP="00F76E07">
      <w:pPr>
        <w:spacing w:line="276" w:lineRule="auto"/>
        <w:jc w:val="both"/>
        <w:rPr>
          <w:rFonts w:ascii="Arial" w:hAnsi="Arial" w:cs="Arial"/>
          <w:szCs w:val="22"/>
        </w:rPr>
      </w:pPr>
      <w:proofErr w:type="spellStart"/>
      <w:r w:rsidRPr="00F76E07">
        <w:rPr>
          <w:rFonts w:ascii="Arial" w:hAnsi="Arial" w:cs="Arial"/>
          <w:szCs w:val="22"/>
        </w:rPr>
        <w:t>Bitcoin</w:t>
      </w:r>
      <w:proofErr w:type="spellEnd"/>
      <w:r w:rsidRPr="00F76E07">
        <w:rPr>
          <w:rFonts w:ascii="Arial" w:hAnsi="Arial" w:cs="Arial"/>
          <w:szCs w:val="22"/>
        </w:rPr>
        <w:t xml:space="preserve"> shows the highest volatility, with sharp rises (2021, 2024–2025) and major corrections (2022).</w:t>
      </w:r>
    </w:p>
    <w:p w:rsidR="001B2D7F" w:rsidRPr="00F76E07" w:rsidRDefault="001B2D7F" w:rsidP="00F76E07">
      <w:pPr>
        <w:spacing w:line="276" w:lineRule="auto"/>
        <w:jc w:val="both"/>
        <w:rPr>
          <w:rFonts w:ascii="Arial" w:hAnsi="Arial" w:cs="Arial"/>
          <w:szCs w:val="22"/>
        </w:rPr>
      </w:pPr>
      <w:proofErr w:type="spellStart"/>
      <w:r w:rsidRPr="00F76E07">
        <w:rPr>
          <w:rFonts w:ascii="Arial" w:hAnsi="Arial" w:cs="Arial"/>
          <w:szCs w:val="22"/>
        </w:rPr>
        <w:t>Ethereum</w:t>
      </w:r>
      <w:proofErr w:type="spellEnd"/>
      <w:r w:rsidRPr="00F76E07">
        <w:rPr>
          <w:rFonts w:ascii="Arial" w:hAnsi="Arial" w:cs="Arial"/>
          <w:szCs w:val="22"/>
        </w:rPr>
        <w:t xml:space="preserve"> follows a similar pattern to </w:t>
      </w:r>
      <w:proofErr w:type="spellStart"/>
      <w:r w:rsidRPr="00F76E07">
        <w:rPr>
          <w:rFonts w:ascii="Arial" w:hAnsi="Arial" w:cs="Arial"/>
          <w:szCs w:val="22"/>
        </w:rPr>
        <w:t>Bitcoin</w:t>
      </w:r>
      <w:proofErr w:type="spellEnd"/>
      <w:r w:rsidRPr="00F76E07">
        <w:rPr>
          <w:rFonts w:ascii="Arial" w:hAnsi="Arial" w:cs="Arial"/>
          <w:szCs w:val="22"/>
        </w:rPr>
        <w:t xml:space="preserve"> but at a smaller scale.</w:t>
      </w:r>
    </w:p>
    <w:p w:rsidR="001B2D7F" w:rsidRPr="00F76E07" w:rsidRDefault="001B2D7F" w:rsidP="00F76E07">
      <w:pPr>
        <w:spacing w:line="276" w:lineRule="auto"/>
        <w:jc w:val="both"/>
        <w:rPr>
          <w:rFonts w:ascii="Arial" w:hAnsi="Arial" w:cs="Arial"/>
          <w:szCs w:val="22"/>
        </w:rPr>
      </w:pPr>
      <w:r w:rsidRPr="00F76E07">
        <w:rPr>
          <w:rFonts w:ascii="Arial" w:hAnsi="Arial" w:cs="Arial"/>
          <w:szCs w:val="22"/>
        </w:rPr>
        <w:t>Gold remains relatively stable, with gradual upward movement and fewer sharp fluctuations.</w:t>
      </w:r>
    </w:p>
    <w:p w:rsidR="001B2D7F" w:rsidRPr="00F76E07" w:rsidRDefault="001B2D7F" w:rsidP="00F76E07">
      <w:pPr>
        <w:spacing w:line="276" w:lineRule="auto"/>
        <w:jc w:val="both"/>
        <w:rPr>
          <w:rFonts w:ascii="Arial" w:hAnsi="Arial" w:cs="Arial"/>
          <w:szCs w:val="22"/>
        </w:rPr>
      </w:pPr>
      <w:r w:rsidRPr="00F76E07">
        <w:rPr>
          <w:rFonts w:ascii="Arial" w:hAnsi="Arial" w:cs="Arial"/>
          <w:szCs w:val="22"/>
        </w:rPr>
        <w:t>2022 reflects a broad crypto downturn.</w:t>
      </w:r>
    </w:p>
    <w:p w:rsidR="001B2D7F" w:rsidRPr="00F76E07" w:rsidRDefault="001B2D7F" w:rsidP="00F76E07">
      <w:pPr>
        <w:spacing w:line="276" w:lineRule="auto"/>
        <w:jc w:val="both"/>
        <w:rPr>
          <w:rFonts w:ascii="Arial" w:hAnsi="Arial" w:cs="Arial"/>
          <w:szCs w:val="22"/>
        </w:rPr>
      </w:pPr>
      <w:r w:rsidRPr="00F76E07">
        <w:rPr>
          <w:rFonts w:ascii="Arial" w:hAnsi="Arial" w:cs="Arial"/>
          <w:szCs w:val="22"/>
        </w:rPr>
        <w:t>2024–2025 shows strong recovery and new highs in crypto markets.</w:t>
      </w:r>
    </w:p>
    <w:p w:rsidR="001B2D7F" w:rsidRPr="00F76E07" w:rsidRDefault="001B2D7F" w:rsidP="00F76E07">
      <w:pPr>
        <w:spacing w:line="276" w:lineRule="auto"/>
        <w:jc w:val="both"/>
        <w:rPr>
          <w:rFonts w:ascii="Arial" w:hAnsi="Arial" w:cs="Arial"/>
          <w:szCs w:val="22"/>
        </w:rPr>
      </w:pPr>
      <w:r w:rsidRPr="00F76E07">
        <w:rPr>
          <w:rFonts w:ascii="Arial" w:hAnsi="Arial" w:cs="Arial"/>
          <w:b/>
          <w:bCs/>
          <w:szCs w:val="22"/>
        </w:rPr>
        <w:t>Interpretation</w:t>
      </w:r>
      <w:r w:rsidRPr="00F76E07">
        <w:rPr>
          <w:rFonts w:ascii="Arial" w:hAnsi="Arial" w:cs="Arial"/>
          <w:szCs w:val="22"/>
        </w:rPr>
        <w:t>:</w:t>
      </w:r>
    </w:p>
    <w:p w:rsidR="001B2D7F" w:rsidRPr="00F76E07" w:rsidRDefault="001B2D7F" w:rsidP="00F76E07">
      <w:pPr>
        <w:spacing w:line="276" w:lineRule="auto"/>
        <w:jc w:val="both"/>
        <w:rPr>
          <w:rFonts w:ascii="Arial" w:hAnsi="Arial" w:cs="Arial"/>
          <w:szCs w:val="22"/>
        </w:rPr>
      </w:pPr>
      <w:r w:rsidRPr="00F76E07">
        <w:rPr>
          <w:rFonts w:ascii="Arial" w:hAnsi="Arial" w:cs="Arial"/>
          <w:szCs w:val="22"/>
        </w:rPr>
        <w:t xml:space="preserve">Gold demonstrates long-term stability, while </w:t>
      </w:r>
      <w:proofErr w:type="spellStart"/>
      <w:r w:rsidRPr="00F76E07">
        <w:rPr>
          <w:rFonts w:ascii="Arial" w:hAnsi="Arial" w:cs="Arial"/>
          <w:szCs w:val="22"/>
        </w:rPr>
        <w:t>cryptocurrencies</w:t>
      </w:r>
      <w:proofErr w:type="spellEnd"/>
      <w:r w:rsidRPr="00F76E07">
        <w:rPr>
          <w:rFonts w:ascii="Arial" w:hAnsi="Arial" w:cs="Arial"/>
          <w:szCs w:val="22"/>
        </w:rPr>
        <w:t xml:space="preserve"> provide higher growth potential but with significantly higher risk.</w:t>
      </w:r>
    </w:p>
    <w:p w:rsidR="001B2D7F" w:rsidRPr="00F76E07" w:rsidRDefault="001B2D7F" w:rsidP="00F76E07">
      <w:pPr>
        <w:spacing w:line="276" w:lineRule="auto"/>
        <w:jc w:val="both"/>
        <w:rPr>
          <w:rFonts w:ascii="Arial" w:hAnsi="Arial" w:cs="Arial"/>
          <w:szCs w:val="22"/>
        </w:rPr>
      </w:pPr>
    </w:p>
    <w:p w:rsidR="001B2D7F" w:rsidRPr="00F76E07" w:rsidRDefault="001B2D7F" w:rsidP="00F76E07">
      <w:pPr>
        <w:spacing w:line="276" w:lineRule="auto"/>
        <w:jc w:val="both"/>
        <w:rPr>
          <w:rFonts w:ascii="Arial" w:hAnsi="Arial" w:cs="Arial"/>
          <w:szCs w:val="22"/>
        </w:rPr>
      </w:pPr>
    </w:p>
    <w:p w:rsidR="001B2D7F" w:rsidRPr="00F76E07" w:rsidRDefault="001B2D7F" w:rsidP="00F76E07">
      <w:pPr>
        <w:spacing w:line="276" w:lineRule="auto"/>
        <w:jc w:val="both"/>
        <w:rPr>
          <w:rFonts w:ascii="Arial" w:hAnsi="Arial" w:cs="Arial"/>
          <w:szCs w:val="22"/>
        </w:rPr>
      </w:pPr>
    </w:p>
    <w:p w:rsidR="001B2D7F" w:rsidRPr="00F76E07" w:rsidRDefault="001B2D7F" w:rsidP="00F76E07">
      <w:pPr>
        <w:spacing w:line="276" w:lineRule="auto"/>
        <w:jc w:val="both"/>
        <w:rPr>
          <w:rFonts w:ascii="Arial" w:hAnsi="Arial" w:cs="Arial"/>
          <w:szCs w:val="22"/>
        </w:rPr>
      </w:pPr>
    </w:p>
    <w:p w:rsidR="001B2D7F" w:rsidRPr="00F76E07" w:rsidRDefault="001B2D7F" w:rsidP="00F76E07">
      <w:pPr>
        <w:spacing w:line="276" w:lineRule="auto"/>
        <w:jc w:val="both"/>
        <w:rPr>
          <w:rFonts w:ascii="Arial" w:hAnsi="Arial" w:cs="Arial"/>
          <w:szCs w:val="22"/>
        </w:rPr>
      </w:pPr>
    </w:p>
    <w:p w:rsidR="001B2D7F" w:rsidRPr="00F76E07" w:rsidRDefault="001B2D7F" w:rsidP="00F76E07">
      <w:pPr>
        <w:spacing w:line="276" w:lineRule="auto"/>
        <w:jc w:val="both"/>
        <w:rPr>
          <w:rFonts w:ascii="Arial" w:hAnsi="Arial" w:cs="Arial"/>
          <w:szCs w:val="22"/>
        </w:rPr>
      </w:pPr>
    </w:p>
    <w:p w:rsidR="001B2D7F" w:rsidRPr="00F76E07" w:rsidRDefault="001B2D7F" w:rsidP="00F76E07">
      <w:pPr>
        <w:spacing w:line="276" w:lineRule="auto"/>
        <w:jc w:val="both"/>
        <w:rPr>
          <w:rFonts w:ascii="Arial" w:hAnsi="Arial" w:cs="Arial"/>
          <w:szCs w:val="22"/>
        </w:rPr>
      </w:pPr>
      <w:r w:rsidRPr="00F76E07">
        <w:rPr>
          <w:rFonts w:ascii="Arial" w:hAnsi="Arial" w:cs="Arial"/>
          <w:noProof/>
          <w:szCs w:val="22"/>
          <w:lang w:bidi="dz-BT"/>
        </w:rPr>
        <w:drawing>
          <wp:inline distT="0" distB="0" distL="0" distR="0" wp14:anchorId="28953E90" wp14:editId="1D4899A2">
            <wp:extent cx="5943600" cy="28873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87345"/>
                    </a:xfrm>
                    <a:prstGeom prst="rect">
                      <a:avLst/>
                    </a:prstGeom>
                  </pic:spPr>
                </pic:pic>
              </a:graphicData>
            </a:graphic>
          </wp:inline>
        </w:drawing>
      </w:r>
    </w:p>
    <w:p w:rsidR="001B2D7F" w:rsidRPr="00F76E07" w:rsidRDefault="001B2D7F" w:rsidP="00F76E07">
      <w:pPr>
        <w:spacing w:line="276" w:lineRule="auto"/>
        <w:jc w:val="both"/>
        <w:rPr>
          <w:rFonts w:ascii="Arial" w:hAnsi="Arial" w:cs="Arial"/>
          <w:b/>
          <w:bCs/>
          <w:szCs w:val="22"/>
        </w:rPr>
      </w:pPr>
      <w:r w:rsidRPr="00F76E07">
        <w:rPr>
          <w:rFonts w:ascii="Arial" w:hAnsi="Arial" w:cs="Arial"/>
          <w:b/>
          <w:bCs/>
          <w:szCs w:val="22"/>
        </w:rPr>
        <w:t>What it shows:</w:t>
      </w:r>
    </w:p>
    <w:p w:rsidR="001B2D7F" w:rsidRPr="00F76E07" w:rsidRDefault="001B2D7F" w:rsidP="00F76E07">
      <w:pPr>
        <w:spacing w:line="276" w:lineRule="auto"/>
        <w:jc w:val="both"/>
        <w:rPr>
          <w:rFonts w:ascii="Arial" w:hAnsi="Arial" w:cs="Arial"/>
          <w:szCs w:val="22"/>
        </w:rPr>
      </w:pPr>
      <w:r w:rsidRPr="00F76E07">
        <w:rPr>
          <w:rFonts w:ascii="Arial" w:hAnsi="Arial" w:cs="Arial"/>
          <w:szCs w:val="22"/>
        </w:rPr>
        <w:t xml:space="preserve">Annual absolute volatility comparison between </w:t>
      </w:r>
      <w:proofErr w:type="spellStart"/>
      <w:r w:rsidRPr="00F76E07">
        <w:rPr>
          <w:rFonts w:ascii="Arial" w:hAnsi="Arial" w:cs="Arial"/>
          <w:szCs w:val="22"/>
        </w:rPr>
        <w:t>Bitcoin</w:t>
      </w:r>
      <w:proofErr w:type="spellEnd"/>
      <w:r w:rsidRPr="00F76E07">
        <w:rPr>
          <w:rFonts w:ascii="Arial" w:hAnsi="Arial" w:cs="Arial"/>
          <w:szCs w:val="22"/>
        </w:rPr>
        <w:t xml:space="preserve">, </w:t>
      </w:r>
      <w:proofErr w:type="spellStart"/>
      <w:r w:rsidRPr="00F76E07">
        <w:rPr>
          <w:rFonts w:ascii="Arial" w:hAnsi="Arial" w:cs="Arial"/>
          <w:szCs w:val="22"/>
        </w:rPr>
        <w:t>Ethereum</w:t>
      </w:r>
      <w:proofErr w:type="spellEnd"/>
      <w:r w:rsidRPr="00F76E07">
        <w:rPr>
          <w:rFonts w:ascii="Arial" w:hAnsi="Arial" w:cs="Arial"/>
          <w:szCs w:val="22"/>
        </w:rPr>
        <w:t>, and Gold.</w:t>
      </w:r>
    </w:p>
    <w:p w:rsidR="001B2D7F" w:rsidRPr="00F76E07" w:rsidRDefault="001B2D7F" w:rsidP="00F76E07">
      <w:pPr>
        <w:spacing w:line="276" w:lineRule="auto"/>
        <w:jc w:val="both"/>
        <w:rPr>
          <w:rFonts w:ascii="Arial" w:hAnsi="Arial" w:cs="Arial"/>
          <w:b/>
          <w:bCs/>
          <w:szCs w:val="22"/>
        </w:rPr>
      </w:pPr>
      <w:r w:rsidRPr="00F76E07">
        <w:rPr>
          <w:rFonts w:ascii="Arial" w:hAnsi="Arial" w:cs="Arial"/>
          <w:b/>
          <w:bCs/>
          <w:szCs w:val="22"/>
        </w:rPr>
        <w:t>Key insights:</w:t>
      </w:r>
    </w:p>
    <w:p w:rsidR="001B2D7F" w:rsidRPr="00F76E07" w:rsidRDefault="001B2D7F" w:rsidP="00F76E07">
      <w:pPr>
        <w:spacing w:line="276" w:lineRule="auto"/>
        <w:jc w:val="both"/>
        <w:rPr>
          <w:rFonts w:ascii="Arial" w:hAnsi="Arial" w:cs="Arial"/>
          <w:szCs w:val="22"/>
        </w:rPr>
      </w:pPr>
      <w:proofErr w:type="spellStart"/>
      <w:r w:rsidRPr="00F76E07">
        <w:rPr>
          <w:rFonts w:ascii="Arial" w:hAnsi="Arial" w:cs="Arial"/>
          <w:szCs w:val="22"/>
        </w:rPr>
        <w:t>Ethereum</w:t>
      </w:r>
      <w:proofErr w:type="spellEnd"/>
      <w:r w:rsidRPr="00F76E07">
        <w:rPr>
          <w:rFonts w:ascii="Arial" w:hAnsi="Arial" w:cs="Arial"/>
          <w:szCs w:val="22"/>
        </w:rPr>
        <w:t xml:space="preserve"> has the highest volatility overall, especially around 2021.</w:t>
      </w:r>
    </w:p>
    <w:p w:rsidR="001B2D7F" w:rsidRPr="00F76E07" w:rsidRDefault="001B2D7F" w:rsidP="00F76E07">
      <w:pPr>
        <w:spacing w:line="276" w:lineRule="auto"/>
        <w:jc w:val="both"/>
        <w:rPr>
          <w:rFonts w:ascii="Arial" w:hAnsi="Arial" w:cs="Arial"/>
          <w:szCs w:val="22"/>
        </w:rPr>
      </w:pPr>
      <w:proofErr w:type="spellStart"/>
      <w:r w:rsidRPr="00F76E07">
        <w:rPr>
          <w:rFonts w:ascii="Arial" w:hAnsi="Arial" w:cs="Arial"/>
          <w:szCs w:val="22"/>
        </w:rPr>
        <w:t>Bitcoin</w:t>
      </w:r>
      <w:proofErr w:type="spellEnd"/>
      <w:r w:rsidRPr="00F76E07">
        <w:rPr>
          <w:rFonts w:ascii="Arial" w:hAnsi="Arial" w:cs="Arial"/>
          <w:szCs w:val="22"/>
        </w:rPr>
        <w:t xml:space="preserve"> shows high but slightly lower volatility than </w:t>
      </w:r>
      <w:proofErr w:type="spellStart"/>
      <w:r w:rsidRPr="00F76E07">
        <w:rPr>
          <w:rFonts w:ascii="Arial" w:hAnsi="Arial" w:cs="Arial"/>
          <w:szCs w:val="22"/>
        </w:rPr>
        <w:t>Ethereum</w:t>
      </w:r>
      <w:proofErr w:type="spellEnd"/>
      <w:r w:rsidRPr="00F76E07">
        <w:rPr>
          <w:rFonts w:ascii="Arial" w:hAnsi="Arial" w:cs="Arial"/>
          <w:szCs w:val="22"/>
        </w:rPr>
        <w:t>.</w:t>
      </w:r>
    </w:p>
    <w:p w:rsidR="001B2D7F" w:rsidRPr="00F76E07" w:rsidRDefault="001B2D7F" w:rsidP="00F76E07">
      <w:pPr>
        <w:spacing w:line="276" w:lineRule="auto"/>
        <w:jc w:val="both"/>
        <w:rPr>
          <w:rFonts w:ascii="Arial" w:hAnsi="Arial" w:cs="Arial"/>
          <w:szCs w:val="22"/>
        </w:rPr>
      </w:pPr>
      <w:r w:rsidRPr="00F76E07">
        <w:rPr>
          <w:rFonts w:ascii="Arial" w:hAnsi="Arial" w:cs="Arial"/>
          <w:szCs w:val="22"/>
        </w:rPr>
        <w:t>Gold maintains consistently low volatility across all years.</w:t>
      </w:r>
    </w:p>
    <w:p w:rsidR="001B2D7F" w:rsidRPr="00F76E07" w:rsidRDefault="001B2D7F" w:rsidP="00F76E07">
      <w:pPr>
        <w:spacing w:line="276" w:lineRule="auto"/>
        <w:jc w:val="both"/>
        <w:rPr>
          <w:rFonts w:ascii="Arial" w:hAnsi="Arial" w:cs="Arial"/>
          <w:szCs w:val="22"/>
        </w:rPr>
      </w:pPr>
      <w:r w:rsidRPr="00F76E07">
        <w:rPr>
          <w:rFonts w:ascii="Arial" w:hAnsi="Arial" w:cs="Arial"/>
          <w:szCs w:val="22"/>
        </w:rPr>
        <w:t>Volatility declines in 2023, then slightly increases again in 2024–2025.</w:t>
      </w:r>
    </w:p>
    <w:p w:rsidR="001B2D7F" w:rsidRPr="00F76E07" w:rsidRDefault="001B2D7F" w:rsidP="00F76E07">
      <w:pPr>
        <w:spacing w:line="276" w:lineRule="auto"/>
        <w:jc w:val="both"/>
        <w:rPr>
          <w:rFonts w:ascii="Arial" w:hAnsi="Arial" w:cs="Arial"/>
          <w:b/>
          <w:bCs/>
          <w:szCs w:val="22"/>
        </w:rPr>
      </w:pPr>
      <w:r w:rsidRPr="00F76E07">
        <w:rPr>
          <w:rFonts w:ascii="Arial" w:hAnsi="Arial" w:cs="Arial"/>
          <w:b/>
          <w:bCs/>
          <w:szCs w:val="22"/>
        </w:rPr>
        <w:t>Interpretation:</w:t>
      </w:r>
    </w:p>
    <w:p w:rsidR="001B2D7F" w:rsidRPr="00F76E07" w:rsidRDefault="001B2D7F" w:rsidP="00F76E07">
      <w:pPr>
        <w:spacing w:line="276" w:lineRule="auto"/>
        <w:jc w:val="both"/>
        <w:rPr>
          <w:rFonts w:ascii="Arial" w:hAnsi="Arial" w:cs="Arial"/>
          <w:szCs w:val="22"/>
        </w:rPr>
      </w:pPr>
      <w:r w:rsidRPr="00F76E07">
        <w:rPr>
          <w:rFonts w:ascii="Arial" w:hAnsi="Arial" w:cs="Arial"/>
          <w:szCs w:val="22"/>
        </w:rPr>
        <w:t>Crypto assets experience large price swings year-to-year, while gold remains stable. This supports the idea that gold-backed assets (like TER in your study) may inherit lower volatility characteristics.</w:t>
      </w:r>
    </w:p>
    <w:p w:rsidR="001B2D7F" w:rsidRPr="00F76E07" w:rsidRDefault="001B2D7F" w:rsidP="00F76E07">
      <w:pPr>
        <w:spacing w:line="276" w:lineRule="auto"/>
        <w:jc w:val="both"/>
        <w:rPr>
          <w:rFonts w:ascii="Arial" w:hAnsi="Arial" w:cs="Arial"/>
          <w:szCs w:val="22"/>
        </w:rPr>
      </w:pPr>
    </w:p>
    <w:p w:rsidR="001B2D7F" w:rsidRPr="00F76E07" w:rsidRDefault="001B2D7F" w:rsidP="00F76E07">
      <w:pPr>
        <w:spacing w:line="276" w:lineRule="auto"/>
        <w:jc w:val="both"/>
        <w:rPr>
          <w:rFonts w:ascii="Arial" w:hAnsi="Arial" w:cs="Arial"/>
          <w:szCs w:val="22"/>
        </w:rPr>
      </w:pPr>
    </w:p>
    <w:p w:rsidR="001B2D7F" w:rsidRPr="00F76E07" w:rsidRDefault="001B2D7F" w:rsidP="00F76E07">
      <w:pPr>
        <w:spacing w:line="276" w:lineRule="auto"/>
        <w:jc w:val="both"/>
        <w:rPr>
          <w:rFonts w:ascii="Arial" w:hAnsi="Arial" w:cs="Arial"/>
          <w:szCs w:val="22"/>
        </w:rPr>
      </w:pPr>
    </w:p>
    <w:p w:rsidR="001B2D7F" w:rsidRPr="00F76E07" w:rsidRDefault="001B2D7F" w:rsidP="00F76E07">
      <w:pPr>
        <w:spacing w:line="276" w:lineRule="auto"/>
        <w:jc w:val="both"/>
        <w:rPr>
          <w:rFonts w:ascii="Arial" w:hAnsi="Arial" w:cs="Arial"/>
          <w:szCs w:val="22"/>
        </w:rPr>
      </w:pPr>
    </w:p>
    <w:p w:rsidR="001B2D7F" w:rsidRPr="00F76E07" w:rsidRDefault="001B2D7F" w:rsidP="00F76E07">
      <w:pPr>
        <w:spacing w:line="276" w:lineRule="auto"/>
        <w:jc w:val="both"/>
        <w:rPr>
          <w:rFonts w:ascii="Arial" w:hAnsi="Arial" w:cs="Arial"/>
          <w:szCs w:val="22"/>
        </w:rPr>
      </w:pPr>
    </w:p>
    <w:p w:rsidR="001B2D7F" w:rsidRPr="00F76E07" w:rsidRDefault="001B2D7F" w:rsidP="00F76E07">
      <w:pPr>
        <w:spacing w:line="276" w:lineRule="auto"/>
        <w:jc w:val="both"/>
        <w:rPr>
          <w:rFonts w:ascii="Arial" w:hAnsi="Arial" w:cs="Arial"/>
          <w:szCs w:val="22"/>
        </w:rPr>
      </w:pPr>
    </w:p>
    <w:p w:rsidR="001B2D7F" w:rsidRPr="00F76E07" w:rsidRDefault="001B2D7F" w:rsidP="00F76E07">
      <w:pPr>
        <w:spacing w:line="276" w:lineRule="auto"/>
        <w:jc w:val="both"/>
        <w:rPr>
          <w:rFonts w:ascii="Arial" w:hAnsi="Arial" w:cs="Arial"/>
          <w:szCs w:val="22"/>
        </w:rPr>
      </w:pPr>
    </w:p>
    <w:p w:rsidR="001B2D7F" w:rsidRPr="00F76E07" w:rsidRDefault="001B2D7F" w:rsidP="00F76E07">
      <w:pPr>
        <w:spacing w:line="276" w:lineRule="auto"/>
        <w:jc w:val="both"/>
        <w:rPr>
          <w:rFonts w:ascii="Arial" w:hAnsi="Arial" w:cs="Arial"/>
          <w:szCs w:val="22"/>
        </w:rPr>
      </w:pPr>
    </w:p>
    <w:p w:rsidR="001B2D7F" w:rsidRPr="00F76E07" w:rsidRDefault="001B2D7F" w:rsidP="00F76E07">
      <w:pPr>
        <w:spacing w:line="276" w:lineRule="auto"/>
        <w:jc w:val="both"/>
        <w:rPr>
          <w:rFonts w:ascii="Arial" w:hAnsi="Arial" w:cs="Arial"/>
          <w:szCs w:val="22"/>
        </w:rPr>
      </w:pPr>
    </w:p>
    <w:p w:rsidR="001B2D7F" w:rsidRPr="00F76E07" w:rsidRDefault="001B2D7F" w:rsidP="00F76E07">
      <w:pPr>
        <w:spacing w:line="276" w:lineRule="auto"/>
        <w:jc w:val="both"/>
        <w:rPr>
          <w:rFonts w:ascii="Arial" w:hAnsi="Arial" w:cs="Arial"/>
          <w:szCs w:val="22"/>
        </w:rPr>
      </w:pPr>
      <w:r w:rsidRPr="00F76E07">
        <w:rPr>
          <w:rFonts w:ascii="Arial" w:hAnsi="Arial" w:cs="Arial"/>
          <w:noProof/>
          <w:szCs w:val="22"/>
          <w:lang w:bidi="dz-BT"/>
        </w:rPr>
        <w:drawing>
          <wp:inline distT="0" distB="0" distL="0" distR="0" wp14:anchorId="03114B1F" wp14:editId="4F0CB3C4">
            <wp:extent cx="5943600" cy="28365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36545"/>
                    </a:xfrm>
                    <a:prstGeom prst="rect">
                      <a:avLst/>
                    </a:prstGeom>
                  </pic:spPr>
                </pic:pic>
              </a:graphicData>
            </a:graphic>
          </wp:inline>
        </w:drawing>
      </w:r>
    </w:p>
    <w:p w:rsidR="0095592D" w:rsidRPr="00F76E07" w:rsidRDefault="0095592D" w:rsidP="00F76E07">
      <w:pPr>
        <w:spacing w:line="276" w:lineRule="auto"/>
        <w:jc w:val="both"/>
        <w:rPr>
          <w:rFonts w:ascii="Arial" w:hAnsi="Arial" w:cs="Arial"/>
          <w:b/>
          <w:bCs/>
          <w:szCs w:val="22"/>
        </w:rPr>
      </w:pPr>
      <w:r w:rsidRPr="00F76E07">
        <w:rPr>
          <w:rFonts w:ascii="Arial" w:hAnsi="Arial" w:cs="Arial"/>
          <w:b/>
          <w:bCs/>
          <w:szCs w:val="22"/>
        </w:rPr>
        <w:t>What it shows:</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 xml:space="preserve">Comparison of asset performance across different market phases (Crisis </w:t>
      </w:r>
      <w:proofErr w:type="spellStart"/>
      <w:r w:rsidRPr="00F76E07">
        <w:rPr>
          <w:rFonts w:ascii="Arial" w:hAnsi="Arial" w:cs="Arial"/>
          <w:szCs w:val="22"/>
        </w:rPr>
        <w:t>vs</w:t>
      </w:r>
      <w:proofErr w:type="spellEnd"/>
      <w:r w:rsidRPr="00F76E07">
        <w:rPr>
          <w:rFonts w:ascii="Arial" w:hAnsi="Arial" w:cs="Arial"/>
          <w:szCs w:val="22"/>
        </w:rPr>
        <w:t xml:space="preserve"> Boom periods).</w:t>
      </w:r>
    </w:p>
    <w:p w:rsidR="0095592D" w:rsidRPr="00F76E07" w:rsidRDefault="0095592D" w:rsidP="00F76E07">
      <w:pPr>
        <w:spacing w:line="276" w:lineRule="auto"/>
        <w:jc w:val="both"/>
        <w:rPr>
          <w:rFonts w:ascii="Arial" w:hAnsi="Arial" w:cs="Arial"/>
          <w:b/>
          <w:bCs/>
          <w:szCs w:val="22"/>
        </w:rPr>
      </w:pPr>
      <w:r w:rsidRPr="00F76E07">
        <w:rPr>
          <w:rFonts w:ascii="Arial" w:hAnsi="Arial" w:cs="Arial"/>
          <w:b/>
          <w:bCs/>
          <w:szCs w:val="22"/>
        </w:rPr>
        <w:t>Key insights:</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 xml:space="preserve">During boom phases, </w:t>
      </w:r>
      <w:proofErr w:type="spellStart"/>
      <w:r w:rsidRPr="00F76E07">
        <w:rPr>
          <w:rFonts w:ascii="Arial" w:hAnsi="Arial" w:cs="Arial"/>
          <w:szCs w:val="22"/>
        </w:rPr>
        <w:t>Bitcoin</w:t>
      </w:r>
      <w:proofErr w:type="spellEnd"/>
      <w:r w:rsidRPr="00F76E07">
        <w:rPr>
          <w:rFonts w:ascii="Arial" w:hAnsi="Arial" w:cs="Arial"/>
          <w:szCs w:val="22"/>
        </w:rPr>
        <w:t xml:space="preserve"> shows extremely high total value growth compared to Gold and </w:t>
      </w:r>
      <w:proofErr w:type="spellStart"/>
      <w:r w:rsidRPr="00F76E07">
        <w:rPr>
          <w:rFonts w:ascii="Arial" w:hAnsi="Arial" w:cs="Arial"/>
          <w:szCs w:val="22"/>
        </w:rPr>
        <w:t>Ethereum</w:t>
      </w:r>
      <w:proofErr w:type="spellEnd"/>
      <w:r w:rsidRPr="00F76E07">
        <w:rPr>
          <w:rFonts w:ascii="Arial" w:hAnsi="Arial" w:cs="Arial"/>
          <w:szCs w:val="22"/>
        </w:rPr>
        <w:t>.</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In crisis phases, crypto values drop significantly.</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Gold remains relatively stable in both crisis and boom periods.</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 xml:space="preserve">The scale difference highlights how dominant </w:t>
      </w:r>
      <w:proofErr w:type="spellStart"/>
      <w:r w:rsidRPr="00F76E07">
        <w:rPr>
          <w:rFonts w:ascii="Arial" w:hAnsi="Arial" w:cs="Arial"/>
          <w:szCs w:val="22"/>
        </w:rPr>
        <w:t>Bitcoin</w:t>
      </w:r>
      <w:proofErr w:type="spellEnd"/>
      <w:r w:rsidRPr="00F76E07">
        <w:rPr>
          <w:rFonts w:ascii="Arial" w:hAnsi="Arial" w:cs="Arial"/>
          <w:szCs w:val="22"/>
        </w:rPr>
        <w:t xml:space="preserve"> price movement is compared to the other assets.</w:t>
      </w:r>
    </w:p>
    <w:p w:rsidR="0095592D" w:rsidRPr="00F76E07" w:rsidRDefault="0095592D" w:rsidP="00F76E07">
      <w:pPr>
        <w:spacing w:line="276" w:lineRule="auto"/>
        <w:jc w:val="both"/>
        <w:rPr>
          <w:rFonts w:ascii="Arial" w:hAnsi="Arial" w:cs="Arial"/>
          <w:b/>
          <w:bCs/>
          <w:szCs w:val="22"/>
        </w:rPr>
      </w:pPr>
      <w:r w:rsidRPr="00F76E07">
        <w:rPr>
          <w:rFonts w:ascii="Arial" w:hAnsi="Arial" w:cs="Arial"/>
          <w:b/>
          <w:bCs/>
          <w:szCs w:val="22"/>
        </w:rPr>
        <w:t>Interpretation:</w:t>
      </w:r>
    </w:p>
    <w:p w:rsidR="0095592D" w:rsidRPr="00F76E07" w:rsidRDefault="0095592D" w:rsidP="00F76E07">
      <w:pPr>
        <w:spacing w:line="276" w:lineRule="auto"/>
        <w:jc w:val="both"/>
        <w:rPr>
          <w:rFonts w:ascii="Arial" w:hAnsi="Arial" w:cs="Arial"/>
          <w:szCs w:val="22"/>
        </w:rPr>
      </w:pPr>
      <w:proofErr w:type="spellStart"/>
      <w:r w:rsidRPr="00F76E07">
        <w:rPr>
          <w:rFonts w:ascii="Arial" w:hAnsi="Arial" w:cs="Arial"/>
          <w:szCs w:val="22"/>
        </w:rPr>
        <w:t>Cryptocurrencies</w:t>
      </w:r>
      <w:proofErr w:type="spellEnd"/>
      <w:r w:rsidRPr="00F76E07">
        <w:rPr>
          <w:rFonts w:ascii="Arial" w:hAnsi="Arial" w:cs="Arial"/>
          <w:szCs w:val="22"/>
        </w:rPr>
        <w:t xml:space="preserve"> outperform during expansion phases but suffer large corrections during downturns. Gold acts as a stabilizing asset across cycles.</w:t>
      </w:r>
    </w:p>
    <w:p w:rsidR="00F76E07" w:rsidRPr="00F76E07" w:rsidRDefault="00F76E07" w:rsidP="00F76E07">
      <w:pPr>
        <w:spacing w:line="276" w:lineRule="auto"/>
        <w:jc w:val="both"/>
        <w:rPr>
          <w:rFonts w:ascii="Arial" w:hAnsi="Arial" w:cs="Arial"/>
          <w:szCs w:val="22"/>
        </w:rPr>
      </w:pPr>
    </w:p>
    <w:p w:rsidR="00F76E07" w:rsidRPr="00F76E07" w:rsidRDefault="00F76E07" w:rsidP="00F76E07">
      <w:pPr>
        <w:spacing w:line="276" w:lineRule="auto"/>
        <w:jc w:val="both"/>
        <w:rPr>
          <w:rFonts w:ascii="Arial" w:hAnsi="Arial" w:cs="Arial"/>
          <w:szCs w:val="22"/>
        </w:rPr>
      </w:pPr>
    </w:p>
    <w:p w:rsidR="00F76E07" w:rsidRPr="00F76E07" w:rsidRDefault="00F76E07" w:rsidP="00F76E07">
      <w:pPr>
        <w:spacing w:line="276" w:lineRule="auto"/>
        <w:jc w:val="both"/>
        <w:rPr>
          <w:rFonts w:ascii="Arial" w:hAnsi="Arial" w:cs="Arial"/>
          <w:szCs w:val="22"/>
        </w:rPr>
      </w:pPr>
    </w:p>
    <w:p w:rsidR="00F76E07" w:rsidRPr="00F76E07" w:rsidRDefault="00F76E07" w:rsidP="00F76E07">
      <w:pPr>
        <w:spacing w:line="276" w:lineRule="auto"/>
        <w:jc w:val="both"/>
        <w:rPr>
          <w:rFonts w:ascii="Arial" w:hAnsi="Arial" w:cs="Arial"/>
          <w:szCs w:val="22"/>
        </w:rPr>
      </w:pPr>
    </w:p>
    <w:p w:rsidR="00F76E07" w:rsidRDefault="00F76E07" w:rsidP="00F76E07">
      <w:pPr>
        <w:spacing w:line="276" w:lineRule="auto"/>
        <w:jc w:val="both"/>
        <w:rPr>
          <w:rFonts w:ascii="Arial" w:hAnsi="Arial" w:cs="Arial"/>
          <w:szCs w:val="22"/>
        </w:rPr>
      </w:pPr>
    </w:p>
    <w:p w:rsidR="00F76E07" w:rsidRPr="00F76E07" w:rsidRDefault="00F76E07" w:rsidP="00F76E07">
      <w:pPr>
        <w:spacing w:line="276" w:lineRule="auto"/>
        <w:jc w:val="both"/>
        <w:rPr>
          <w:rFonts w:ascii="Arial" w:hAnsi="Arial" w:cs="Arial"/>
          <w:szCs w:val="22"/>
        </w:rPr>
      </w:pPr>
    </w:p>
    <w:p w:rsidR="00F76E07" w:rsidRPr="00F76E07" w:rsidRDefault="00F76E07" w:rsidP="00F76E07">
      <w:pPr>
        <w:spacing w:line="276" w:lineRule="auto"/>
        <w:jc w:val="both"/>
        <w:rPr>
          <w:rFonts w:ascii="Arial" w:hAnsi="Arial" w:cs="Arial"/>
          <w:b/>
          <w:bCs/>
          <w:szCs w:val="22"/>
        </w:rPr>
      </w:pPr>
      <w:r w:rsidRPr="00F76E07">
        <w:rPr>
          <w:rFonts w:ascii="Arial" w:hAnsi="Arial" w:cs="Arial"/>
          <w:b/>
          <w:bCs/>
          <w:szCs w:val="22"/>
        </w:rPr>
        <w:t>Survey Analysis.</w:t>
      </w:r>
    </w:p>
    <w:p w:rsidR="0095592D" w:rsidRPr="00F76E07" w:rsidRDefault="0095592D" w:rsidP="00F76E07">
      <w:pPr>
        <w:spacing w:line="276" w:lineRule="auto"/>
        <w:jc w:val="both"/>
        <w:rPr>
          <w:rFonts w:ascii="Arial" w:hAnsi="Arial" w:cs="Arial"/>
          <w:szCs w:val="22"/>
        </w:rPr>
      </w:pPr>
      <w:r w:rsidRPr="00F76E07">
        <w:rPr>
          <w:rFonts w:ascii="Arial" w:hAnsi="Arial" w:cs="Arial"/>
          <w:noProof/>
          <w:szCs w:val="22"/>
          <w:lang w:bidi="dz-BT"/>
        </w:rPr>
        <w:drawing>
          <wp:inline distT="0" distB="0" distL="0" distR="0" wp14:anchorId="6AB9F34B" wp14:editId="638585B7">
            <wp:extent cx="5943600" cy="28759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75915"/>
                    </a:xfrm>
                    <a:prstGeom prst="rect">
                      <a:avLst/>
                    </a:prstGeom>
                  </pic:spPr>
                </pic:pic>
              </a:graphicData>
            </a:graphic>
          </wp:inline>
        </w:drawing>
      </w:r>
    </w:p>
    <w:p w:rsidR="0095592D" w:rsidRPr="00F76E07" w:rsidRDefault="0095592D" w:rsidP="00F76E07">
      <w:pPr>
        <w:spacing w:line="276" w:lineRule="auto"/>
        <w:jc w:val="both"/>
        <w:rPr>
          <w:rFonts w:ascii="Arial" w:hAnsi="Arial" w:cs="Arial"/>
          <w:b/>
          <w:bCs/>
          <w:szCs w:val="22"/>
        </w:rPr>
      </w:pPr>
      <w:r w:rsidRPr="00F76E07">
        <w:rPr>
          <w:rFonts w:ascii="Arial" w:hAnsi="Arial" w:cs="Arial"/>
          <w:b/>
          <w:bCs/>
          <w:szCs w:val="22"/>
        </w:rPr>
        <w:t>What it shows:</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This chart presents the level of awareness about TER among respondents. The size of each bubble represents the percentage of respondents in each awareness category.</w:t>
      </w:r>
    </w:p>
    <w:p w:rsidR="0095592D" w:rsidRPr="00F76E07" w:rsidRDefault="0095592D" w:rsidP="00F76E07">
      <w:pPr>
        <w:spacing w:line="276" w:lineRule="auto"/>
        <w:jc w:val="both"/>
        <w:rPr>
          <w:rFonts w:ascii="Arial" w:hAnsi="Arial" w:cs="Arial"/>
          <w:b/>
          <w:bCs/>
          <w:szCs w:val="22"/>
        </w:rPr>
      </w:pPr>
      <w:r w:rsidRPr="00F76E07">
        <w:rPr>
          <w:rFonts w:ascii="Arial" w:hAnsi="Arial" w:cs="Arial"/>
          <w:b/>
          <w:bCs/>
          <w:szCs w:val="22"/>
        </w:rPr>
        <w:t>Key Findings:</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42.02% of respondents know a little bit about TER (largest group).</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26.05% know the names but not details.</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24.37% have moderate awareness.</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Only 5.04% don’t know about it at all.</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A very small percentage (2.52%) report very high awareness.</w:t>
      </w:r>
    </w:p>
    <w:p w:rsidR="0095592D" w:rsidRPr="00F76E07" w:rsidRDefault="0095592D" w:rsidP="00F76E07">
      <w:pPr>
        <w:spacing w:line="276" w:lineRule="auto"/>
        <w:jc w:val="both"/>
        <w:rPr>
          <w:rFonts w:ascii="Arial" w:hAnsi="Arial" w:cs="Arial"/>
          <w:b/>
          <w:bCs/>
          <w:szCs w:val="22"/>
        </w:rPr>
      </w:pPr>
      <w:r w:rsidRPr="00F76E07">
        <w:rPr>
          <w:rFonts w:ascii="Arial" w:hAnsi="Arial" w:cs="Arial"/>
          <w:b/>
          <w:bCs/>
          <w:szCs w:val="22"/>
        </w:rPr>
        <w:t>What it tells us:</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General awareness exists, but it is mostly basic-level knowledge.</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Deep understanding of TER is still limited.</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There is strong potential for education and awareness campaigns.</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TER is not completely unknown — but it is not yet deeply understood.</w:t>
      </w:r>
    </w:p>
    <w:p w:rsidR="0095592D" w:rsidRPr="00F76E07" w:rsidRDefault="0095592D" w:rsidP="00F76E07">
      <w:pPr>
        <w:spacing w:line="276" w:lineRule="auto"/>
        <w:jc w:val="both"/>
        <w:rPr>
          <w:rFonts w:ascii="Arial" w:hAnsi="Arial" w:cs="Arial"/>
          <w:szCs w:val="22"/>
        </w:rPr>
      </w:pPr>
    </w:p>
    <w:p w:rsidR="0095592D" w:rsidRPr="00F76E07" w:rsidRDefault="0095592D" w:rsidP="00F76E07">
      <w:pPr>
        <w:spacing w:line="276" w:lineRule="auto"/>
        <w:jc w:val="both"/>
        <w:rPr>
          <w:rFonts w:ascii="Arial" w:hAnsi="Arial" w:cs="Arial"/>
          <w:szCs w:val="22"/>
        </w:rPr>
      </w:pPr>
    </w:p>
    <w:p w:rsidR="0095592D" w:rsidRPr="00F76E07" w:rsidRDefault="0095592D" w:rsidP="00F76E07">
      <w:pPr>
        <w:spacing w:line="276" w:lineRule="auto"/>
        <w:jc w:val="both"/>
        <w:rPr>
          <w:rFonts w:ascii="Arial" w:hAnsi="Arial" w:cs="Arial"/>
          <w:szCs w:val="22"/>
        </w:rPr>
      </w:pPr>
    </w:p>
    <w:p w:rsidR="0095592D" w:rsidRPr="00F76E07" w:rsidRDefault="0095592D" w:rsidP="00F76E07">
      <w:pPr>
        <w:spacing w:line="276" w:lineRule="auto"/>
        <w:jc w:val="both"/>
        <w:rPr>
          <w:rFonts w:ascii="Arial" w:hAnsi="Arial" w:cs="Arial"/>
          <w:szCs w:val="22"/>
        </w:rPr>
      </w:pPr>
    </w:p>
    <w:p w:rsidR="0095592D" w:rsidRPr="00F76E07" w:rsidRDefault="0095592D" w:rsidP="00F76E07">
      <w:pPr>
        <w:spacing w:line="276" w:lineRule="auto"/>
        <w:jc w:val="both"/>
        <w:rPr>
          <w:rFonts w:ascii="Arial" w:hAnsi="Arial" w:cs="Arial"/>
          <w:szCs w:val="22"/>
        </w:rPr>
      </w:pPr>
      <w:r w:rsidRPr="00F76E07">
        <w:rPr>
          <w:rFonts w:ascii="Arial" w:hAnsi="Arial" w:cs="Arial"/>
          <w:noProof/>
          <w:szCs w:val="22"/>
          <w:lang w:bidi="dz-BT"/>
        </w:rPr>
        <w:drawing>
          <wp:inline distT="0" distB="0" distL="0" distR="0" wp14:anchorId="27BEA0FC" wp14:editId="5F3166F0">
            <wp:extent cx="5943600" cy="28790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79090"/>
                    </a:xfrm>
                    <a:prstGeom prst="rect">
                      <a:avLst/>
                    </a:prstGeom>
                  </pic:spPr>
                </pic:pic>
              </a:graphicData>
            </a:graphic>
          </wp:inline>
        </w:drawing>
      </w:r>
    </w:p>
    <w:p w:rsidR="0095592D" w:rsidRPr="00F76E07" w:rsidRDefault="0095592D" w:rsidP="00F76E07">
      <w:pPr>
        <w:spacing w:line="276" w:lineRule="auto"/>
        <w:jc w:val="both"/>
        <w:rPr>
          <w:rFonts w:ascii="Arial" w:hAnsi="Arial" w:cs="Arial"/>
          <w:b/>
          <w:bCs/>
          <w:szCs w:val="22"/>
        </w:rPr>
      </w:pPr>
      <w:r w:rsidRPr="00F76E07">
        <w:rPr>
          <w:rFonts w:ascii="Arial" w:hAnsi="Arial" w:cs="Arial"/>
          <w:b/>
          <w:bCs/>
          <w:szCs w:val="22"/>
        </w:rPr>
        <w:t>What it shows:</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This chart illustrates respondents’ level of trust in TER, shown as a percentage distribution.</w:t>
      </w:r>
    </w:p>
    <w:p w:rsidR="0095592D" w:rsidRPr="00F76E07" w:rsidRDefault="0095592D" w:rsidP="00F76E07">
      <w:pPr>
        <w:spacing w:line="276" w:lineRule="auto"/>
        <w:jc w:val="both"/>
        <w:rPr>
          <w:rFonts w:ascii="Arial" w:hAnsi="Arial" w:cs="Arial"/>
          <w:b/>
          <w:bCs/>
          <w:szCs w:val="22"/>
        </w:rPr>
      </w:pPr>
      <w:r w:rsidRPr="00F76E07">
        <w:rPr>
          <w:rFonts w:ascii="Arial" w:hAnsi="Arial" w:cs="Arial"/>
          <w:b/>
          <w:bCs/>
          <w:szCs w:val="22"/>
        </w:rPr>
        <w:t>Key Findings:</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58.82% trust TER moderately (majority).</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26.47% trust it completely.</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11.76% are neutral or unsure.</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A very small percentage trust it only a little.</w:t>
      </w:r>
    </w:p>
    <w:p w:rsidR="0095592D" w:rsidRPr="00F76E07" w:rsidRDefault="0095592D" w:rsidP="00F76E07">
      <w:pPr>
        <w:spacing w:line="276" w:lineRule="auto"/>
        <w:jc w:val="both"/>
        <w:rPr>
          <w:rFonts w:ascii="Arial" w:hAnsi="Arial" w:cs="Arial"/>
          <w:b/>
          <w:bCs/>
          <w:szCs w:val="22"/>
        </w:rPr>
      </w:pPr>
      <w:r w:rsidRPr="00F76E07">
        <w:rPr>
          <w:rFonts w:ascii="Arial" w:hAnsi="Arial" w:cs="Arial"/>
          <w:b/>
          <w:bCs/>
          <w:szCs w:val="22"/>
        </w:rPr>
        <w:t>What it tells us:</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Overall trust sentiment is positive.</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More than 85% of respondents show moderate to strong trust.</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Very few respondents express low trust.</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Even though awareness may be basic, confidence in the concept is relatively strong.</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This suggests that people may trust the idea of a gold-backed digital asset even if they don’t fully understand it yet.</w:t>
      </w:r>
    </w:p>
    <w:p w:rsidR="0095592D" w:rsidRPr="00F76E07" w:rsidRDefault="0095592D" w:rsidP="00F76E07">
      <w:pPr>
        <w:spacing w:line="276" w:lineRule="auto"/>
        <w:jc w:val="both"/>
        <w:rPr>
          <w:rFonts w:ascii="Arial" w:hAnsi="Arial" w:cs="Arial"/>
          <w:szCs w:val="22"/>
        </w:rPr>
      </w:pPr>
    </w:p>
    <w:p w:rsidR="0095592D" w:rsidRPr="00F76E07" w:rsidRDefault="0095592D" w:rsidP="00F76E07">
      <w:pPr>
        <w:spacing w:line="276" w:lineRule="auto"/>
        <w:jc w:val="both"/>
        <w:rPr>
          <w:rFonts w:ascii="Arial" w:hAnsi="Arial" w:cs="Arial"/>
          <w:szCs w:val="22"/>
        </w:rPr>
      </w:pPr>
    </w:p>
    <w:p w:rsidR="0095592D" w:rsidRPr="00F76E07" w:rsidRDefault="0095592D" w:rsidP="00F76E07">
      <w:pPr>
        <w:spacing w:line="276" w:lineRule="auto"/>
        <w:jc w:val="both"/>
        <w:rPr>
          <w:rFonts w:ascii="Arial" w:hAnsi="Arial" w:cs="Arial"/>
          <w:szCs w:val="22"/>
        </w:rPr>
      </w:pPr>
    </w:p>
    <w:p w:rsidR="0095592D" w:rsidRPr="00F76E07" w:rsidRDefault="0095592D" w:rsidP="00F76E07">
      <w:pPr>
        <w:spacing w:line="276" w:lineRule="auto"/>
        <w:jc w:val="both"/>
        <w:rPr>
          <w:rFonts w:ascii="Arial" w:hAnsi="Arial" w:cs="Arial"/>
          <w:szCs w:val="22"/>
        </w:rPr>
      </w:pPr>
    </w:p>
    <w:p w:rsidR="0095592D" w:rsidRPr="00F76E07" w:rsidRDefault="0095592D" w:rsidP="00F76E07">
      <w:pPr>
        <w:spacing w:line="276" w:lineRule="auto"/>
        <w:jc w:val="both"/>
        <w:rPr>
          <w:rFonts w:ascii="Arial" w:hAnsi="Arial" w:cs="Arial"/>
          <w:szCs w:val="22"/>
        </w:rPr>
      </w:pPr>
    </w:p>
    <w:p w:rsidR="0095592D" w:rsidRPr="00F76E07" w:rsidRDefault="0095592D" w:rsidP="00F76E07">
      <w:pPr>
        <w:spacing w:line="276" w:lineRule="auto"/>
        <w:jc w:val="both"/>
        <w:rPr>
          <w:rFonts w:ascii="Arial" w:hAnsi="Arial" w:cs="Arial"/>
          <w:szCs w:val="22"/>
        </w:rPr>
      </w:pPr>
      <w:r w:rsidRPr="00F76E07">
        <w:rPr>
          <w:rFonts w:ascii="Arial" w:hAnsi="Arial" w:cs="Arial"/>
          <w:noProof/>
          <w:szCs w:val="22"/>
          <w:lang w:bidi="dz-BT"/>
        </w:rPr>
        <w:drawing>
          <wp:inline distT="0" distB="0" distL="0" distR="0" wp14:anchorId="4F3C6A41" wp14:editId="1B4F3C16">
            <wp:extent cx="5943600" cy="28174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17495"/>
                    </a:xfrm>
                    <a:prstGeom prst="rect">
                      <a:avLst/>
                    </a:prstGeom>
                  </pic:spPr>
                </pic:pic>
              </a:graphicData>
            </a:graphic>
          </wp:inline>
        </w:drawing>
      </w:r>
    </w:p>
    <w:p w:rsidR="0095592D" w:rsidRPr="00F76E07" w:rsidRDefault="0095592D" w:rsidP="00F76E07">
      <w:pPr>
        <w:spacing w:line="276" w:lineRule="auto"/>
        <w:jc w:val="both"/>
        <w:rPr>
          <w:rFonts w:ascii="Arial" w:hAnsi="Arial" w:cs="Arial"/>
          <w:b/>
          <w:bCs/>
          <w:szCs w:val="22"/>
        </w:rPr>
      </w:pPr>
      <w:r w:rsidRPr="00F76E07">
        <w:rPr>
          <w:rFonts w:ascii="Arial" w:hAnsi="Arial" w:cs="Arial"/>
          <w:b/>
          <w:bCs/>
          <w:szCs w:val="22"/>
        </w:rPr>
        <w:t>What it shows:</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This chart measures respondents’ future investment intention toward TER.</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Key Findings:</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41.67% say “Probably yes.”</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39.58% say “Definitely yes.”</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18.75% are unsure.</w:t>
      </w:r>
    </w:p>
    <w:p w:rsidR="0095592D" w:rsidRPr="00F76E07" w:rsidRDefault="0095592D" w:rsidP="00F76E07">
      <w:pPr>
        <w:spacing w:line="276" w:lineRule="auto"/>
        <w:jc w:val="both"/>
        <w:rPr>
          <w:rFonts w:ascii="Arial" w:hAnsi="Arial" w:cs="Arial"/>
          <w:b/>
          <w:bCs/>
          <w:szCs w:val="22"/>
        </w:rPr>
      </w:pPr>
      <w:r w:rsidRPr="00F76E07">
        <w:rPr>
          <w:rFonts w:ascii="Arial" w:hAnsi="Arial" w:cs="Arial"/>
          <w:b/>
          <w:bCs/>
          <w:szCs w:val="22"/>
        </w:rPr>
        <w:t>What it tells us:</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Strong investment potential exists.</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Over 80% show positive intention to hold TER in the future.</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Hesitation is relatively low.</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The market readiness appears promising if awareness improves.</w:t>
      </w:r>
    </w:p>
    <w:p w:rsidR="0095592D" w:rsidRPr="00F76E07" w:rsidRDefault="0095592D" w:rsidP="00F76E07">
      <w:pPr>
        <w:spacing w:line="276" w:lineRule="auto"/>
        <w:jc w:val="both"/>
        <w:rPr>
          <w:rFonts w:ascii="Arial" w:hAnsi="Arial" w:cs="Arial"/>
          <w:szCs w:val="22"/>
        </w:rPr>
      </w:pPr>
      <w:r w:rsidRPr="00F76E07">
        <w:rPr>
          <w:rFonts w:ascii="Arial" w:hAnsi="Arial" w:cs="Arial"/>
          <w:noProof/>
          <w:szCs w:val="22"/>
          <w:lang w:bidi="dz-BT"/>
        </w:rPr>
        <w:drawing>
          <wp:inline distT="0" distB="0" distL="0" distR="0" wp14:anchorId="1A0F09BE" wp14:editId="0276A48D">
            <wp:extent cx="5943600" cy="29413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41320"/>
                    </a:xfrm>
                    <a:prstGeom prst="rect">
                      <a:avLst/>
                    </a:prstGeom>
                  </pic:spPr>
                </pic:pic>
              </a:graphicData>
            </a:graphic>
          </wp:inline>
        </w:drawing>
      </w:r>
    </w:p>
    <w:p w:rsidR="0095592D" w:rsidRPr="00F76E07" w:rsidRDefault="0095592D" w:rsidP="00F76E07">
      <w:pPr>
        <w:spacing w:line="276" w:lineRule="auto"/>
        <w:jc w:val="both"/>
        <w:rPr>
          <w:rFonts w:ascii="Arial" w:hAnsi="Arial" w:cs="Arial"/>
          <w:b/>
          <w:bCs/>
          <w:szCs w:val="22"/>
        </w:rPr>
      </w:pPr>
      <w:r w:rsidRPr="00F76E07">
        <w:rPr>
          <w:rFonts w:ascii="Arial" w:hAnsi="Arial" w:cs="Arial"/>
          <w:b/>
          <w:bCs/>
          <w:szCs w:val="22"/>
        </w:rPr>
        <w:t>What the chart shows</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 xml:space="preserve">This </w:t>
      </w:r>
      <w:proofErr w:type="spellStart"/>
      <w:r w:rsidRPr="00F76E07">
        <w:rPr>
          <w:rFonts w:ascii="Arial" w:hAnsi="Arial" w:cs="Arial"/>
          <w:szCs w:val="22"/>
        </w:rPr>
        <w:t>treemap</w:t>
      </w:r>
      <w:proofErr w:type="spellEnd"/>
      <w:r w:rsidRPr="00F76E07">
        <w:rPr>
          <w:rFonts w:ascii="Arial" w:hAnsi="Arial" w:cs="Arial"/>
          <w:szCs w:val="22"/>
        </w:rPr>
        <w:t xml:space="preserve"> illustrates the main reasons why people hesitate or avoid investing in digital assets.</w:t>
      </w:r>
    </w:p>
    <w:p w:rsidR="0095592D" w:rsidRPr="00F76E07" w:rsidRDefault="0095592D" w:rsidP="00F76E07">
      <w:pPr>
        <w:spacing w:line="276" w:lineRule="auto"/>
        <w:jc w:val="both"/>
        <w:rPr>
          <w:rFonts w:ascii="Arial" w:hAnsi="Arial" w:cs="Arial"/>
          <w:b/>
          <w:bCs/>
          <w:szCs w:val="22"/>
        </w:rPr>
      </w:pPr>
      <w:r w:rsidRPr="00F76E07">
        <w:rPr>
          <w:rFonts w:ascii="Arial" w:hAnsi="Arial" w:cs="Arial"/>
          <w:b/>
          <w:bCs/>
          <w:szCs w:val="22"/>
        </w:rPr>
        <w:t>Key insights</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The largest concern is lack of trust in digital assets (33.33%), indicating that many respondents are skeptical about the reliability or safety of digital currencies.</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 xml:space="preserve">22.22% believe digital assets are too risky or volatile, reflecting concerns about price fluctuations commonly seen in </w:t>
      </w:r>
      <w:proofErr w:type="spellStart"/>
      <w:r w:rsidRPr="00F76E07">
        <w:rPr>
          <w:rFonts w:ascii="Arial" w:hAnsi="Arial" w:cs="Arial"/>
          <w:szCs w:val="22"/>
        </w:rPr>
        <w:t>cryptocurrencies</w:t>
      </w:r>
      <w:proofErr w:type="spellEnd"/>
      <w:r w:rsidRPr="00F76E07">
        <w:rPr>
          <w:rFonts w:ascii="Arial" w:hAnsi="Arial" w:cs="Arial"/>
          <w:szCs w:val="22"/>
        </w:rPr>
        <w:t>.</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Another 22.22% prefer traditional financial options such as cash, bank deposits, or gold, suggesting people are more comfortable with familiar financial systems.</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11.11% do not understand how digital assets work, showing a knowledge gap.</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11.11% feel digital assets are not relevant to them, meaning they may not see a practical use or benefit.</w:t>
      </w:r>
    </w:p>
    <w:p w:rsidR="0095592D" w:rsidRPr="00F76E07" w:rsidRDefault="0095592D" w:rsidP="00F76E07">
      <w:pPr>
        <w:spacing w:line="276" w:lineRule="auto"/>
        <w:jc w:val="both"/>
        <w:rPr>
          <w:rFonts w:ascii="Arial" w:hAnsi="Arial" w:cs="Arial"/>
          <w:b/>
          <w:bCs/>
          <w:szCs w:val="22"/>
        </w:rPr>
      </w:pPr>
      <w:r w:rsidRPr="00F76E07">
        <w:rPr>
          <w:rFonts w:ascii="Arial" w:hAnsi="Arial" w:cs="Arial"/>
          <w:b/>
          <w:bCs/>
          <w:szCs w:val="22"/>
        </w:rPr>
        <w:t>Overall interpretation</w:t>
      </w:r>
    </w:p>
    <w:p w:rsidR="0095592D" w:rsidRPr="00F76E07" w:rsidRDefault="0095592D" w:rsidP="00F76E07">
      <w:pPr>
        <w:spacing w:line="276" w:lineRule="auto"/>
        <w:jc w:val="both"/>
        <w:rPr>
          <w:rFonts w:ascii="Arial" w:hAnsi="Arial" w:cs="Arial"/>
          <w:szCs w:val="22"/>
        </w:rPr>
      </w:pPr>
      <w:r w:rsidRPr="00F76E07">
        <w:rPr>
          <w:rFonts w:ascii="Arial" w:hAnsi="Arial" w:cs="Arial"/>
          <w:szCs w:val="22"/>
        </w:rPr>
        <w:t>The chart suggests that trust, perceived risk, and preference for traditional financial systems are the biggest barriers to digital asset adoption. Improving financial literacy and building trust could increase adoption.</w:t>
      </w:r>
    </w:p>
    <w:p w:rsidR="00EC57FA" w:rsidRPr="00F76E07" w:rsidRDefault="00EC57FA" w:rsidP="00F76E07">
      <w:pPr>
        <w:spacing w:line="276" w:lineRule="auto"/>
        <w:jc w:val="both"/>
        <w:rPr>
          <w:rFonts w:ascii="Arial" w:hAnsi="Arial" w:cs="Arial"/>
          <w:szCs w:val="22"/>
        </w:rPr>
      </w:pPr>
    </w:p>
    <w:p w:rsidR="00EC57FA" w:rsidRPr="00F76E07" w:rsidRDefault="00EC57FA" w:rsidP="00F76E07">
      <w:pPr>
        <w:spacing w:line="276" w:lineRule="auto"/>
        <w:jc w:val="both"/>
        <w:rPr>
          <w:rFonts w:ascii="Arial" w:hAnsi="Arial" w:cs="Arial"/>
          <w:szCs w:val="22"/>
        </w:rPr>
      </w:pPr>
    </w:p>
    <w:p w:rsidR="00EC57FA" w:rsidRPr="00F76E07" w:rsidRDefault="00EC57FA" w:rsidP="00F76E07">
      <w:pPr>
        <w:spacing w:line="276" w:lineRule="auto"/>
        <w:jc w:val="both"/>
        <w:rPr>
          <w:rFonts w:ascii="Arial" w:hAnsi="Arial" w:cs="Arial"/>
          <w:szCs w:val="22"/>
        </w:rPr>
      </w:pPr>
    </w:p>
    <w:p w:rsidR="00EC57FA" w:rsidRPr="00F76E07" w:rsidRDefault="00EC57FA" w:rsidP="00F76E07">
      <w:pPr>
        <w:spacing w:line="276" w:lineRule="auto"/>
        <w:jc w:val="both"/>
        <w:rPr>
          <w:rFonts w:ascii="Arial" w:hAnsi="Arial" w:cs="Arial"/>
          <w:szCs w:val="22"/>
        </w:rPr>
      </w:pPr>
      <w:r w:rsidRPr="00F76E07">
        <w:rPr>
          <w:rFonts w:ascii="Arial" w:hAnsi="Arial" w:cs="Arial"/>
          <w:noProof/>
          <w:szCs w:val="22"/>
          <w:lang w:bidi="dz-BT"/>
        </w:rPr>
        <w:drawing>
          <wp:inline distT="0" distB="0" distL="0" distR="0" wp14:anchorId="7BABE1D2" wp14:editId="5FFD5BB0">
            <wp:extent cx="5943600" cy="29241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24175"/>
                    </a:xfrm>
                    <a:prstGeom prst="rect">
                      <a:avLst/>
                    </a:prstGeom>
                  </pic:spPr>
                </pic:pic>
              </a:graphicData>
            </a:graphic>
          </wp:inline>
        </w:drawing>
      </w:r>
    </w:p>
    <w:p w:rsidR="00EC57FA" w:rsidRPr="00F76E07" w:rsidRDefault="00EC57FA" w:rsidP="00F76E07">
      <w:pPr>
        <w:spacing w:line="276" w:lineRule="auto"/>
        <w:jc w:val="both"/>
        <w:rPr>
          <w:rFonts w:ascii="Arial" w:hAnsi="Arial" w:cs="Arial"/>
          <w:b/>
          <w:bCs/>
          <w:szCs w:val="22"/>
        </w:rPr>
      </w:pPr>
      <w:r w:rsidRPr="00F76E07">
        <w:rPr>
          <w:rFonts w:ascii="Arial" w:hAnsi="Arial" w:cs="Arial"/>
          <w:b/>
          <w:bCs/>
          <w:szCs w:val="22"/>
        </w:rPr>
        <w:t>What the chart shows</w:t>
      </w:r>
    </w:p>
    <w:p w:rsidR="00EC57FA" w:rsidRPr="00F76E07" w:rsidRDefault="00EC57FA" w:rsidP="00F76E07">
      <w:pPr>
        <w:spacing w:line="276" w:lineRule="auto"/>
        <w:jc w:val="both"/>
        <w:rPr>
          <w:rFonts w:ascii="Arial" w:hAnsi="Arial" w:cs="Arial"/>
          <w:szCs w:val="22"/>
        </w:rPr>
      </w:pPr>
      <w:r w:rsidRPr="00F76E07">
        <w:rPr>
          <w:rFonts w:ascii="Arial" w:hAnsi="Arial" w:cs="Arial"/>
          <w:szCs w:val="22"/>
        </w:rPr>
        <w:t>This bar chart presents how respondents’ level of trust in digital assets relates to whether they currently invest in financial assets.</w:t>
      </w:r>
    </w:p>
    <w:p w:rsidR="00EC57FA" w:rsidRPr="00F76E07" w:rsidRDefault="00EC57FA" w:rsidP="00F76E07">
      <w:pPr>
        <w:spacing w:line="276" w:lineRule="auto"/>
        <w:jc w:val="both"/>
        <w:rPr>
          <w:rFonts w:ascii="Arial" w:hAnsi="Arial" w:cs="Arial"/>
          <w:b/>
          <w:bCs/>
          <w:szCs w:val="22"/>
        </w:rPr>
      </w:pPr>
      <w:r w:rsidRPr="00F76E07">
        <w:rPr>
          <w:rFonts w:ascii="Arial" w:hAnsi="Arial" w:cs="Arial"/>
          <w:b/>
          <w:bCs/>
          <w:szCs w:val="22"/>
        </w:rPr>
        <w:t>Key insights</w:t>
      </w:r>
    </w:p>
    <w:p w:rsidR="00EC57FA" w:rsidRPr="00F76E07" w:rsidRDefault="00EC57FA" w:rsidP="00F76E07">
      <w:pPr>
        <w:spacing w:line="276" w:lineRule="auto"/>
        <w:jc w:val="both"/>
        <w:rPr>
          <w:rFonts w:ascii="Arial" w:hAnsi="Arial" w:cs="Arial"/>
          <w:szCs w:val="22"/>
        </w:rPr>
      </w:pPr>
      <w:r w:rsidRPr="00F76E07">
        <w:rPr>
          <w:rFonts w:ascii="Arial" w:hAnsi="Arial" w:cs="Arial"/>
          <w:szCs w:val="22"/>
        </w:rPr>
        <w:t>The largest share of current investors falls under moderate trust (58.33%), indicating that people who have a reasonable level of confidence in digital assets are the most likely to invest.</w:t>
      </w:r>
    </w:p>
    <w:p w:rsidR="00EC57FA" w:rsidRPr="00F76E07" w:rsidRDefault="00EC57FA" w:rsidP="00F76E07">
      <w:pPr>
        <w:spacing w:line="276" w:lineRule="auto"/>
        <w:jc w:val="both"/>
        <w:rPr>
          <w:rFonts w:ascii="Arial" w:hAnsi="Arial" w:cs="Arial"/>
          <w:szCs w:val="22"/>
        </w:rPr>
      </w:pPr>
      <w:r w:rsidRPr="00F76E07">
        <w:rPr>
          <w:rFonts w:ascii="Arial" w:hAnsi="Arial" w:cs="Arial"/>
          <w:szCs w:val="22"/>
        </w:rPr>
        <w:t>26.08% of respondents who currently invest trust digital assets completely, showing that strong trust further supports investment participation.</w:t>
      </w:r>
    </w:p>
    <w:p w:rsidR="00EC57FA" w:rsidRPr="00F76E07" w:rsidRDefault="00EC57FA" w:rsidP="00F76E07">
      <w:pPr>
        <w:spacing w:line="276" w:lineRule="auto"/>
        <w:jc w:val="both"/>
        <w:rPr>
          <w:rFonts w:ascii="Arial" w:hAnsi="Arial" w:cs="Arial"/>
          <w:szCs w:val="22"/>
        </w:rPr>
      </w:pPr>
      <w:r w:rsidRPr="00F76E07">
        <w:rPr>
          <w:rFonts w:ascii="Arial" w:hAnsi="Arial" w:cs="Arial"/>
          <w:szCs w:val="22"/>
        </w:rPr>
        <w:t>10.42% of investors are neutral or unsure, suggesting that some individuals still invest even while evaluating or learning about digital assets.</w:t>
      </w:r>
    </w:p>
    <w:p w:rsidR="00EC57FA" w:rsidRPr="00F76E07" w:rsidRDefault="00EC57FA" w:rsidP="00F76E07">
      <w:pPr>
        <w:spacing w:line="276" w:lineRule="auto"/>
        <w:jc w:val="both"/>
        <w:rPr>
          <w:rFonts w:ascii="Arial" w:hAnsi="Arial" w:cs="Arial"/>
          <w:szCs w:val="22"/>
        </w:rPr>
      </w:pPr>
      <w:r w:rsidRPr="00F76E07">
        <w:rPr>
          <w:rFonts w:ascii="Arial" w:hAnsi="Arial" w:cs="Arial"/>
          <w:szCs w:val="22"/>
        </w:rPr>
        <w:t>Only 4.17% of investors trust digital assets a little, indicating that very low trust corresponds with lower investment participation.</w:t>
      </w:r>
    </w:p>
    <w:p w:rsidR="00EC57FA" w:rsidRPr="00F76E07" w:rsidRDefault="00EC57FA" w:rsidP="00F76E07">
      <w:pPr>
        <w:spacing w:line="276" w:lineRule="auto"/>
        <w:jc w:val="both"/>
        <w:rPr>
          <w:rFonts w:ascii="Arial" w:hAnsi="Arial" w:cs="Arial"/>
          <w:b/>
          <w:bCs/>
          <w:szCs w:val="22"/>
        </w:rPr>
      </w:pPr>
      <w:r w:rsidRPr="00F76E07">
        <w:rPr>
          <w:rFonts w:ascii="Arial" w:hAnsi="Arial" w:cs="Arial"/>
          <w:b/>
          <w:bCs/>
          <w:szCs w:val="22"/>
        </w:rPr>
        <w:t>Overall interpretation</w:t>
      </w:r>
    </w:p>
    <w:p w:rsidR="00EC57FA" w:rsidRPr="00F76E07" w:rsidRDefault="00EC57FA" w:rsidP="00F76E07">
      <w:pPr>
        <w:spacing w:line="276" w:lineRule="auto"/>
        <w:jc w:val="both"/>
        <w:rPr>
          <w:rFonts w:ascii="Arial" w:hAnsi="Arial" w:cs="Arial"/>
          <w:szCs w:val="22"/>
        </w:rPr>
      </w:pPr>
      <w:r w:rsidRPr="00F76E07">
        <w:rPr>
          <w:rFonts w:ascii="Arial" w:hAnsi="Arial" w:cs="Arial"/>
          <w:szCs w:val="22"/>
        </w:rPr>
        <w:t>The chart suggests a positive relationship between trust and investment behavior. As tr</w:t>
      </w:r>
      <w:r w:rsidR="00107199">
        <w:rPr>
          <w:rFonts w:ascii="Arial" w:hAnsi="Arial" w:cs="Arial"/>
          <w:szCs w:val="22"/>
        </w:rPr>
        <w:t xml:space="preserve">ust in digital assets increases, </w:t>
      </w:r>
      <w:r w:rsidRPr="00F76E07">
        <w:rPr>
          <w:rFonts w:ascii="Arial" w:hAnsi="Arial" w:cs="Arial"/>
          <w:szCs w:val="22"/>
        </w:rPr>
        <w:t>from little trust to moderate or complete trust—the likelihood of investing also increases. This highlights the importance of building trust and transparency in digital financial systems to encourage wider adoption.</w:t>
      </w:r>
    </w:p>
    <w:p w:rsidR="00EC57FA" w:rsidRPr="00F76E07" w:rsidRDefault="00EC57FA" w:rsidP="00F76E07">
      <w:pPr>
        <w:spacing w:line="276" w:lineRule="auto"/>
        <w:jc w:val="both"/>
        <w:rPr>
          <w:rFonts w:ascii="Arial" w:hAnsi="Arial" w:cs="Arial"/>
          <w:szCs w:val="22"/>
        </w:rPr>
      </w:pPr>
    </w:p>
    <w:p w:rsidR="00EC57FA" w:rsidRPr="00F76E07" w:rsidRDefault="00EC57FA" w:rsidP="00F76E07">
      <w:pPr>
        <w:spacing w:line="276" w:lineRule="auto"/>
        <w:jc w:val="both"/>
        <w:rPr>
          <w:rFonts w:ascii="Arial" w:hAnsi="Arial" w:cs="Arial"/>
          <w:szCs w:val="22"/>
        </w:rPr>
      </w:pPr>
    </w:p>
    <w:p w:rsidR="00EC57FA" w:rsidRPr="00F76E07" w:rsidRDefault="00EC57FA" w:rsidP="00F76E07">
      <w:pPr>
        <w:spacing w:line="276" w:lineRule="auto"/>
        <w:jc w:val="both"/>
        <w:rPr>
          <w:rFonts w:ascii="Arial" w:hAnsi="Arial" w:cs="Arial"/>
          <w:szCs w:val="22"/>
        </w:rPr>
      </w:pPr>
    </w:p>
    <w:p w:rsidR="00EC57FA" w:rsidRPr="00F76E07" w:rsidRDefault="00EC57FA" w:rsidP="00F76E07">
      <w:pPr>
        <w:spacing w:line="276" w:lineRule="auto"/>
        <w:jc w:val="both"/>
        <w:rPr>
          <w:rFonts w:ascii="Arial" w:hAnsi="Arial" w:cs="Arial"/>
          <w:szCs w:val="22"/>
        </w:rPr>
      </w:pPr>
      <w:r w:rsidRPr="00F76E07">
        <w:rPr>
          <w:rFonts w:ascii="Arial" w:hAnsi="Arial" w:cs="Arial"/>
          <w:noProof/>
          <w:szCs w:val="22"/>
          <w:lang w:bidi="dz-BT"/>
        </w:rPr>
        <w:drawing>
          <wp:inline distT="0" distB="0" distL="0" distR="0" wp14:anchorId="6B265AB6" wp14:editId="37F20CBA">
            <wp:extent cx="5943600" cy="28962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96235"/>
                    </a:xfrm>
                    <a:prstGeom prst="rect">
                      <a:avLst/>
                    </a:prstGeom>
                  </pic:spPr>
                </pic:pic>
              </a:graphicData>
            </a:graphic>
          </wp:inline>
        </w:drawing>
      </w:r>
    </w:p>
    <w:p w:rsidR="00EC57FA" w:rsidRPr="00F76E07" w:rsidRDefault="00EC57FA" w:rsidP="00F76E07">
      <w:pPr>
        <w:spacing w:line="276" w:lineRule="auto"/>
        <w:jc w:val="both"/>
        <w:rPr>
          <w:rFonts w:ascii="Arial" w:hAnsi="Arial" w:cs="Arial"/>
          <w:b/>
          <w:bCs/>
          <w:szCs w:val="22"/>
        </w:rPr>
      </w:pPr>
      <w:r w:rsidRPr="00F76E07">
        <w:rPr>
          <w:rFonts w:ascii="Arial" w:hAnsi="Arial" w:cs="Arial"/>
          <w:b/>
          <w:bCs/>
          <w:szCs w:val="22"/>
        </w:rPr>
        <w:t>What the chart shows</w:t>
      </w:r>
    </w:p>
    <w:p w:rsidR="00EC57FA" w:rsidRPr="00F76E07" w:rsidRDefault="00EC57FA" w:rsidP="00F76E07">
      <w:pPr>
        <w:spacing w:line="276" w:lineRule="auto"/>
        <w:jc w:val="both"/>
        <w:rPr>
          <w:rFonts w:ascii="Arial" w:hAnsi="Arial" w:cs="Arial"/>
          <w:szCs w:val="22"/>
        </w:rPr>
      </w:pPr>
      <w:r w:rsidRPr="00F76E07">
        <w:rPr>
          <w:rFonts w:ascii="Arial" w:hAnsi="Arial" w:cs="Arial"/>
          <w:szCs w:val="22"/>
        </w:rPr>
        <w:t>This chart compares respondents’ preferences for long-term asset types, specifically between gold-backed digital assets and uncertainty about asset choice.</w:t>
      </w:r>
    </w:p>
    <w:p w:rsidR="00EC57FA" w:rsidRPr="00F76E07" w:rsidRDefault="00EC57FA" w:rsidP="00F76E07">
      <w:pPr>
        <w:spacing w:line="276" w:lineRule="auto"/>
        <w:jc w:val="both"/>
        <w:rPr>
          <w:rFonts w:ascii="Arial" w:hAnsi="Arial" w:cs="Arial"/>
          <w:b/>
          <w:bCs/>
          <w:szCs w:val="22"/>
        </w:rPr>
      </w:pPr>
      <w:r w:rsidRPr="00F76E07">
        <w:rPr>
          <w:rFonts w:ascii="Arial" w:hAnsi="Arial" w:cs="Arial"/>
          <w:b/>
          <w:bCs/>
          <w:szCs w:val="22"/>
        </w:rPr>
        <w:t>Key insights</w:t>
      </w:r>
    </w:p>
    <w:p w:rsidR="00EC57FA" w:rsidRPr="00F76E07" w:rsidRDefault="00EC57FA" w:rsidP="00F76E07">
      <w:pPr>
        <w:spacing w:line="276" w:lineRule="auto"/>
        <w:jc w:val="both"/>
        <w:rPr>
          <w:rFonts w:ascii="Arial" w:hAnsi="Arial" w:cs="Arial"/>
          <w:szCs w:val="22"/>
        </w:rPr>
      </w:pPr>
      <w:r w:rsidRPr="00F76E07">
        <w:rPr>
          <w:rFonts w:ascii="Arial" w:hAnsi="Arial" w:cs="Arial"/>
          <w:szCs w:val="22"/>
        </w:rPr>
        <w:t>A large majority (88.24%) prefer gold-backed digital assets for long-term value.</w:t>
      </w:r>
    </w:p>
    <w:p w:rsidR="00EC57FA" w:rsidRPr="00F76E07" w:rsidRDefault="00EC57FA" w:rsidP="00F76E07">
      <w:pPr>
        <w:spacing w:line="276" w:lineRule="auto"/>
        <w:jc w:val="both"/>
        <w:rPr>
          <w:rFonts w:ascii="Arial" w:hAnsi="Arial" w:cs="Arial"/>
          <w:szCs w:val="22"/>
        </w:rPr>
      </w:pPr>
      <w:r w:rsidRPr="00F76E07">
        <w:rPr>
          <w:rFonts w:ascii="Arial" w:hAnsi="Arial" w:cs="Arial"/>
          <w:szCs w:val="22"/>
        </w:rPr>
        <w:t>Only 11.76% of respondents are unsure about which asset type they prefer.</w:t>
      </w:r>
    </w:p>
    <w:p w:rsidR="00EC57FA" w:rsidRPr="00F76E07" w:rsidRDefault="00EC57FA" w:rsidP="00F76E07">
      <w:pPr>
        <w:spacing w:line="276" w:lineRule="auto"/>
        <w:jc w:val="both"/>
        <w:rPr>
          <w:rFonts w:ascii="Arial" w:hAnsi="Arial" w:cs="Arial"/>
          <w:b/>
          <w:bCs/>
          <w:szCs w:val="22"/>
        </w:rPr>
      </w:pPr>
      <w:r w:rsidRPr="00F76E07">
        <w:rPr>
          <w:rFonts w:ascii="Arial" w:hAnsi="Arial" w:cs="Arial"/>
          <w:b/>
          <w:bCs/>
          <w:szCs w:val="22"/>
        </w:rPr>
        <w:t>Overall interpretation</w:t>
      </w:r>
    </w:p>
    <w:p w:rsidR="00EC57FA" w:rsidRPr="00F76E07" w:rsidRDefault="00EC57FA" w:rsidP="00F76E07">
      <w:pPr>
        <w:spacing w:line="276" w:lineRule="auto"/>
        <w:jc w:val="both"/>
        <w:rPr>
          <w:rFonts w:ascii="Arial" w:hAnsi="Arial" w:cs="Arial"/>
          <w:szCs w:val="22"/>
        </w:rPr>
      </w:pPr>
      <w:r w:rsidRPr="00F76E07">
        <w:rPr>
          <w:rFonts w:ascii="Arial" w:hAnsi="Arial" w:cs="Arial"/>
          <w:szCs w:val="22"/>
        </w:rPr>
        <w:t xml:space="preserve">The chart indicates strong support for gold-backed digital assets as a long-term store of value. This suggests that combining digital technology with the stability of gold may increase investor confidence compared to traditional </w:t>
      </w:r>
      <w:proofErr w:type="spellStart"/>
      <w:r w:rsidRPr="00F76E07">
        <w:rPr>
          <w:rFonts w:ascii="Arial" w:hAnsi="Arial" w:cs="Arial"/>
          <w:szCs w:val="22"/>
        </w:rPr>
        <w:t>cryptocurrencies</w:t>
      </w:r>
      <w:proofErr w:type="spellEnd"/>
      <w:r w:rsidRPr="00F76E07">
        <w:rPr>
          <w:rFonts w:ascii="Arial" w:hAnsi="Arial" w:cs="Arial"/>
          <w:szCs w:val="22"/>
        </w:rPr>
        <w:t>.</w:t>
      </w:r>
    </w:p>
    <w:sectPr w:rsidR="00EC57FA" w:rsidRPr="00F76E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69F"/>
    <w:rsid w:val="00107199"/>
    <w:rsid w:val="001B2D7F"/>
    <w:rsid w:val="00583F78"/>
    <w:rsid w:val="008B212B"/>
    <w:rsid w:val="00936A8A"/>
    <w:rsid w:val="0095592D"/>
    <w:rsid w:val="00EA169F"/>
    <w:rsid w:val="00EC57FA"/>
    <w:rsid w:val="00F76E07"/>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EEAA6C-414D-495A-9EAE-C517D4BB2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32"/>
        <w:lang w:val="en-US" w:eastAsia="en-US" w:bidi="bo-C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6822644">
      <w:bodyDiv w:val="1"/>
      <w:marLeft w:val="0"/>
      <w:marRight w:val="0"/>
      <w:marTop w:val="0"/>
      <w:marBottom w:val="0"/>
      <w:divBdr>
        <w:top w:val="none" w:sz="0" w:space="0" w:color="auto"/>
        <w:left w:val="none" w:sz="0" w:space="0" w:color="auto"/>
        <w:bottom w:val="none" w:sz="0" w:space="0" w:color="auto"/>
        <w:right w:val="none" w:sz="0" w:space="0" w:color="auto"/>
      </w:divBdr>
    </w:div>
    <w:div w:id="595947652">
      <w:bodyDiv w:val="1"/>
      <w:marLeft w:val="0"/>
      <w:marRight w:val="0"/>
      <w:marTop w:val="0"/>
      <w:marBottom w:val="0"/>
      <w:divBdr>
        <w:top w:val="none" w:sz="0" w:space="0" w:color="auto"/>
        <w:left w:val="none" w:sz="0" w:space="0" w:color="auto"/>
        <w:bottom w:val="none" w:sz="0" w:space="0" w:color="auto"/>
        <w:right w:val="none" w:sz="0" w:space="0" w:color="auto"/>
      </w:divBdr>
    </w:div>
    <w:div w:id="1084499529">
      <w:bodyDiv w:val="1"/>
      <w:marLeft w:val="0"/>
      <w:marRight w:val="0"/>
      <w:marTop w:val="0"/>
      <w:marBottom w:val="0"/>
      <w:divBdr>
        <w:top w:val="none" w:sz="0" w:space="0" w:color="auto"/>
        <w:left w:val="none" w:sz="0" w:space="0" w:color="auto"/>
        <w:bottom w:val="none" w:sz="0" w:space="0" w:color="auto"/>
        <w:right w:val="none" w:sz="0" w:space="0" w:color="auto"/>
      </w:divBdr>
    </w:div>
    <w:div w:id="1225068172">
      <w:bodyDiv w:val="1"/>
      <w:marLeft w:val="0"/>
      <w:marRight w:val="0"/>
      <w:marTop w:val="0"/>
      <w:marBottom w:val="0"/>
      <w:divBdr>
        <w:top w:val="none" w:sz="0" w:space="0" w:color="auto"/>
        <w:left w:val="none" w:sz="0" w:space="0" w:color="auto"/>
        <w:bottom w:val="none" w:sz="0" w:space="0" w:color="auto"/>
        <w:right w:val="none" w:sz="0" w:space="0" w:color="auto"/>
      </w:divBdr>
    </w:div>
    <w:div w:id="1329595220">
      <w:bodyDiv w:val="1"/>
      <w:marLeft w:val="0"/>
      <w:marRight w:val="0"/>
      <w:marTop w:val="0"/>
      <w:marBottom w:val="0"/>
      <w:divBdr>
        <w:top w:val="none" w:sz="0" w:space="0" w:color="auto"/>
        <w:left w:val="none" w:sz="0" w:space="0" w:color="auto"/>
        <w:bottom w:val="none" w:sz="0" w:space="0" w:color="auto"/>
        <w:right w:val="none" w:sz="0" w:space="0" w:color="auto"/>
      </w:divBdr>
    </w:div>
    <w:div w:id="1422484402">
      <w:bodyDiv w:val="1"/>
      <w:marLeft w:val="0"/>
      <w:marRight w:val="0"/>
      <w:marTop w:val="0"/>
      <w:marBottom w:val="0"/>
      <w:divBdr>
        <w:top w:val="none" w:sz="0" w:space="0" w:color="auto"/>
        <w:left w:val="none" w:sz="0" w:space="0" w:color="auto"/>
        <w:bottom w:val="none" w:sz="0" w:space="0" w:color="auto"/>
        <w:right w:val="none" w:sz="0" w:space="0" w:color="auto"/>
      </w:divBdr>
    </w:div>
    <w:div w:id="1479153727">
      <w:bodyDiv w:val="1"/>
      <w:marLeft w:val="0"/>
      <w:marRight w:val="0"/>
      <w:marTop w:val="0"/>
      <w:marBottom w:val="0"/>
      <w:divBdr>
        <w:top w:val="none" w:sz="0" w:space="0" w:color="auto"/>
        <w:left w:val="none" w:sz="0" w:space="0" w:color="auto"/>
        <w:bottom w:val="none" w:sz="0" w:space="0" w:color="auto"/>
        <w:right w:val="none" w:sz="0" w:space="0" w:color="auto"/>
      </w:divBdr>
    </w:div>
    <w:div w:id="1645890286">
      <w:bodyDiv w:val="1"/>
      <w:marLeft w:val="0"/>
      <w:marRight w:val="0"/>
      <w:marTop w:val="0"/>
      <w:marBottom w:val="0"/>
      <w:divBdr>
        <w:top w:val="none" w:sz="0" w:space="0" w:color="auto"/>
        <w:left w:val="none" w:sz="0" w:space="0" w:color="auto"/>
        <w:bottom w:val="none" w:sz="0" w:space="0" w:color="auto"/>
        <w:right w:val="none" w:sz="0" w:space="0" w:color="auto"/>
      </w:divBdr>
    </w:div>
    <w:div w:id="1948124338">
      <w:bodyDiv w:val="1"/>
      <w:marLeft w:val="0"/>
      <w:marRight w:val="0"/>
      <w:marTop w:val="0"/>
      <w:marBottom w:val="0"/>
      <w:divBdr>
        <w:top w:val="none" w:sz="0" w:space="0" w:color="auto"/>
        <w:left w:val="none" w:sz="0" w:space="0" w:color="auto"/>
        <w:bottom w:val="none" w:sz="0" w:space="0" w:color="auto"/>
        <w:right w:val="none" w:sz="0" w:space="0" w:color="auto"/>
      </w:divBdr>
    </w:div>
    <w:div w:id="1952473525">
      <w:bodyDiv w:val="1"/>
      <w:marLeft w:val="0"/>
      <w:marRight w:val="0"/>
      <w:marTop w:val="0"/>
      <w:marBottom w:val="0"/>
      <w:divBdr>
        <w:top w:val="none" w:sz="0" w:space="0" w:color="auto"/>
        <w:left w:val="none" w:sz="0" w:space="0" w:color="auto"/>
        <w:bottom w:val="none" w:sz="0" w:space="0" w:color="auto"/>
        <w:right w:val="none" w:sz="0" w:space="0" w:color="auto"/>
      </w:divBdr>
    </w:div>
    <w:div w:id="1965042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11</Pages>
  <Words>1190</Words>
  <Characters>6783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2026-03-01T17:49:00Z</dcterms:created>
  <dcterms:modified xsi:type="dcterms:W3CDTF">2026-03-03T18:40:00Z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2cf16723-b63e-4ba4-91fa-9c2da0a29825</vt:lpwstr>
  </property>
</Properties>
</file>