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7495" w:rsidRPr="00AD7495" w:rsidRDefault="00AD7495" w:rsidP="00472711">
      <w:pPr>
        <w:pStyle w:val="NormalWeb"/>
        <w:spacing w:line="360" w:lineRule="auto"/>
        <w:jc w:val="both"/>
        <w:rPr>
          <w:rStyle w:val="Strong"/>
          <w:rFonts w:ascii="Arial" w:hAnsi="Arial" w:cs="Arial"/>
          <w:sz w:val="22"/>
          <w:szCs w:val="22"/>
        </w:rPr>
      </w:pPr>
      <w:r>
        <w:rPr>
          <w:rStyle w:val="Strong"/>
          <w:rFonts w:ascii="Arial" w:hAnsi="Arial" w:cs="Arial"/>
          <w:sz w:val="22"/>
          <w:szCs w:val="22"/>
        </w:rPr>
        <w:t>The</w:t>
      </w:r>
      <w:r w:rsidR="003F295A" w:rsidRPr="00AD7495">
        <w:rPr>
          <w:rStyle w:val="Strong"/>
          <w:rFonts w:ascii="Arial" w:hAnsi="Arial" w:cs="Arial"/>
          <w:sz w:val="22"/>
          <w:szCs w:val="22"/>
        </w:rPr>
        <w:t xml:space="preserve"> definition of stability and volatility</w:t>
      </w:r>
    </w:p>
    <w:p w:rsidR="00AD7495" w:rsidRPr="00AD7495" w:rsidRDefault="003F295A" w:rsidP="00AD7495">
      <w:pPr>
        <w:pStyle w:val="NormalWeb"/>
        <w:numPr>
          <w:ilvl w:val="0"/>
          <w:numId w:val="2"/>
        </w:numPr>
        <w:spacing w:line="360" w:lineRule="auto"/>
        <w:jc w:val="both"/>
        <w:rPr>
          <w:rFonts w:ascii="Arial" w:hAnsi="Arial" w:cs="Arial"/>
          <w:sz w:val="22"/>
          <w:szCs w:val="22"/>
        </w:rPr>
      </w:pPr>
      <w:r w:rsidRPr="00AD7495">
        <w:rPr>
          <w:rFonts w:ascii="Arial" w:hAnsi="Arial" w:cs="Arial"/>
          <w:sz w:val="22"/>
          <w:szCs w:val="22"/>
        </w:rPr>
        <w:t>Stability in financial markets refers to the tendency of an asset’s price to change gradually over time without large or sudden fluctuations. A stable asset usually maintains relatively consistent value and experiences smaller price swings. Volatility, on the other hand, refers to the degree of variation in an asset’s price over time. Highly volatile assets experience frequent and large price movements, both upward and downward, indicating higher uncertainty and risk for investors.</w:t>
      </w:r>
    </w:p>
    <w:p w:rsidR="00472711" w:rsidRDefault="00472711" w:rsidP="00472711">
      <w:pPr>
        <w:pStyle w:val="NormalWeb"/>
        <w:spacing w:line="360" w:lineRule="auto"/>
        <w:jc w:val="both"/>
        <w:rPr>
          <w:rStyle w:val="Strong"/>
          <w:rFonts w:ascii="Arial" w:hAnsi="Arial" w:cs="Arial"/>
          <w:sz w:val="22"/>
          <w:szCs w:val="22"/>
        </w:rPr>
      </w:pPr>
      <w:r w:rsidRPr="00472711">
        <w:rPr>
          <w:rStyle w:val="Strong"/>
          <w:rFonts w:ascii="Arial" w:hAnsi="Arial" w:cs="Arial"/>
          <w:sz w:val="22"/>
          <w:szCs w:val="22"/>
        </w:rPr>
        <w:t>Identify key market patterns</w:t>
      </w:r>
    </w:p>
    <w:p w:rsidR="00472711" w:rsidRPr="00472711" w:rsidRDefault="00472711" w:rsidP="00472711">
      <w:pPr>
        <w:pStyle w:val="NormalWeb"/>
        <w:numPr>
          <w:ilvl w:val="0"/>
          <w:numId w:val="1"/>
        </w:numPr>
        <w:spacing w:line="360" w:lineRule="auto"/>
        <w:jc w:val="both"/>
        <w:rPr>
          <w:rFonts w:ascii="Arial" w:hAnsi="Arial" w:cs="Arial"/>
          <w:b/>
          <w:bCs/>
          <w:sz w:val="22"/>
          <w:szCs w:val="22"/>
        </w:rPr>
      </w:pPr>
      <w:r w:rsidRPr="00472711">
        <w:rPr>
          <w:rFonts w:ascii="Arial" w:hAnsi="Arial" w:cs="Arial"/>
          <w:sz w:val="22"/>
          <w:szCs w:val="22"/>
        </w:rPr>
        <w:t xml:space="preserve">Several important market phases can be observed. The </w:t>
      </w:r>
      <w:proofErr w:type="spellStart"/>
      <w:r w:rsidRPr="00472711">
        <w:rPr>
          <w:rFonts w:ascii="Arial" w:hAnsi="Arial" w:cs="Arial"/>
          <w:sz w:val="22"/>
          <w:szCs w:val="22"/>
        </w:rPr>
        <w:t>cryptocurrency</w:t>
      </w:r>
      <w:proofErr w:type="spellEnd"/>
      <w:r w:rsidRPr="00472711">
        <w:rPr>
          <w:rFonts w:ascii="Arial" w:hAnsi="Arial" w:cs="Arial"/>
          <w:sz w:val="22"/>
          <w:szCs w:val="22"/>
        </w:rPr>
        <w:t xml:space="preserve"> market experiences a strong surge in 2021, followed by a major downturn in 2022. After this decline, the market begins to recover in 2023, leading to strong growth and new highs in 2024–2025.</w:t>
      </w:r>
    </w:p>
    <w:p w:rsidR="00472711" w:rsidRDefault="00472711" w:rsidP="00472711">
      <w:pPr>
        <w:pStyle w:val="NormalWeb"/>
        <w:spacing w:line="360" w:lineRule="auto"/>
        <w:jc w:val="both"/>
        <w:rPr>
          <w:rStyle w:val="Strong"/>
          <w:rFonts w:ascii="Arial" w:hAnsi="Arial" w:cs="Arial"/>
          <w:sz w:val="22"/>
          <w:szCs w:val="22"/>
        </w:rPr>
      </w:pPr>
      <w:r w:rsidRPr="00472711">
        <w:rPr>
          <w:rStyle w:val="Strong"/>
          <w:rFonts w:ascii="Arial" w:hAnsi="Arial" w:cs="Arial"/>
          <w:sz w:val="22"/>
          <w:szCs w:val="22"/>
        </w:rPr>
        <w:t xml:space="preserve">Compare asset </w:t>
      </w:r>
      <w:r>
        <w:rPr>
          <w:rStyle w:val="Strong"/>
          <w:rFonts w:ascii="Arial" w:hAnsi="Arial" w:cs="Arial"/>
          <w:sz w:val="22"/>
          <w:szCs w:val="22"/>
        </w:rPr>
        <w:t>behavior</w:t>
      </w:r>
    </w:p>
    <w:p w:rsidR="00472711" w:rsidRPr="00472711" w:rsidRDefault="00472711" w:rsidP="00472711">
      <w:pPr>
        <w:pStyle w:val="NormalWeb"/>
        <w:numPr>
          <w:ilvl w:val="0"/>
          <w:numId w:val="1"/>
        </w:numPr>
        <w:spacing w:line="360" w:lineRule="auto"/>
        <w:jc w:val="both"/>
        <w:rPr>
          <w:rFonts w:ascii="Arial" w:hAnsi="Arial" w:cs="Arial"/>
          <w:sz w:val="22"/>
          <w:szCs w:val="22"/>
        </w:rPr>
      </w:pPr>
      <w:proofErr w:type="spellStart"/>
      <w:r w:rsidRPr="00472711">
        <w:rPr>
          <w:rFonts w:ascii="Arial" w:hAnsi="Arial" w:cs="Arial"/>
          <w:sz w:val="22"/>
          <w:szCs w:val="22"/>
        </w:rPr>
        <w:t>Bitcoin</w:t>
      </w:r>
      <w:proofErr w:type="spellEnd"/>
      <w:r w:rsidRPr="00472711">
        <w:rPr>
          <w:rFonts w:ascii="Arial" w:hAnsi="Arial" w:cs="Arial"/>
          <w:sz w:val="22"/>
          <w:szCs w:val="22"/>
        </w:rPr>
        <w:t xml:space="preserve"> and </w:t>
      </w:r>
      <w:proofErr w:type="spellStart"/>
      <w:r w:rsidRPr="00472711">
        <w:rPr>
          <w:rFonts w:ascii="Arial" w:hAnsi="Arial" w:cs="Arial"/>
          <w:sz w:val="22"/>
          <w:szCs w:val="22"/>
        </w:rPr>
        <w:t>Ethereum</w:t>
      </w:r>
      <w:proofErr w:type="spellEnd"/>
      <w:r w:rsidRPr="00472711">
        <w:rPr>
          <w:rFonts w:ascii="Arial" w:hAnsi="Arial" w:cs="Arial"/>
          <w:sz w:val="22"/>
          <w:szCs w:val="22"/>
        </w:rPr>
        <w:t xml:space="preserve"> display sharp rises and sudden declines in their price movements, indicating high volatility and rapid market changes. In contrast, Gold follows a smoother and more gradual trend with fewer extreme price fluctuations.</w:t>
      </w:r>
    </w:p>
    <w:p w:rsidR="00472711" w:rsidRDefault="00472711" w:rsidP="00472711">
      <w:pPr>
        <w:pStyle w:val="NormalWeb"/>
        <w:spacing w:line="360" w:lineRule="auto"/>
        <w:jc w:val="both"/>
        <w:rPr>
          <w:rStyle w:val="Strong"/>
          <w:rFonts w:ascii="Arial" w:hAnsi="Arial" w:cs="Arial"/>
          <w:sz w:val="22"/>
          <w:szCs w:val="22"/>
        </w:rPr>
      </w:pPr>
      <w:r w:rsidRPr="00472711">
        <w:rPr>
          <w:rStyle w:val="Strong"/>
          <w:rFonts w:ascii="Arial" w:hAnsi="Arial" w:cs="Arial"/>
          <w:sz w:val="22"/>
          <w:szCs w:val="22"/>
        </w:rPr>
        <w:t>Explain volatility differences</w:t>
      </w:r>
    </w:p>
    <w:p w:rsidR="00472711" w:rsidRPr="00472711" w:rsidRDefault="00472711" w:rsidP="00472711">
      <w:pPr>
        <w:pStyle w:val="NormalWeb"/>
        <w:numPr>
          <w:ilvl w:val="0"/>
          <w:numId w:val="1"/>
        </w:numPr>
        <w:spacing w:line="360" w:lineRule="auto"/>
        <w:jc w:val="both"/>
        <w:rPr>
          <w:rFonts w:ascii="Arial" w:hAnsi="Arial" w:cs="Arial"/>
          <w:sz w:val="22"/>
          <w:szCs w:val="22"/>
        </w:rPr>
      </w:pPr>
      <w:r w:rsidRPr="00472711">
        <w:rPr>
          <w:rFonts w:ascii="Arial" w:hAnsi="Arial" w:cs="Arial"/>
          <w:sz w:val="22"/>
          <w:szCs w:val="22"/>
        </w:rPr>
        <w:t xml:space="preserve">Among the three assets, </w:t>
      </w:r>
      <w:proofErr w:type="spellStart"/>
      <w:r w:rsidRPr="00472711">
        <w:rPr>
          <w:rFonts w:ascii="Arial" w:hAnsi="Arial" w:cs="Arial"/>
          <w:sz w:val="22"/>
          <w:szCs w:val="22"/>
        </w:rPr>
        <w:t>Ethereum</w:t>
      </w:r>
      <w:proofErr w:type="spellEnd"/>
      <w:r w:rsidRPr="00472711">
        <w:rPr>
          <w:rFonts w:ascii="Arial" w:hAnsi="Arial" w:cs="Arial"/>
          <w:sz w:val="22"/>
          <w:szCs w:val="22"/>
        </w:rPr>
        <w:t xml:space="preserve"> shows the highest volatility, meaning its prices fluctuate more dramatically. </w:t>
      </w:r>
      <w:proofErr w:type="spellStart"/>
      <w:r w:rsidRPr="00472711">
        <w:rPr>
          <w:rFonts w:ascii="Arial" w:hAnsi="Arial" w:cs="Arial"/>
          <w:sz w:val="22"/>
          <w:szCs w:val="22"/>
        </w:rPr>
        <w:t>Bitcoin</w:t>
      </w:r>
      <w:proofErr w:type="spellEnd"/>
      <w:r w:rsidRPr="00472711">
        <w:rPr>
          <w:rFonts w:ascii="Arial" w:hAnsi="Arial" w:cs="Arial"/>
          <w:sz w:val="22"/>
          <w:szCs w:val="22"/>
        </w:rPr>
        <w:t xml:space="preserve"> also experiences high volatility but slightly less than </w:t>
      </w:r>
      <w:proofErr w:type="spellStart"/>
      <w:r w:rsidRPr="00472711">
        <w:rPr>
          <w:rFonts w:ascii="Arial" w:hAnsi="Arial" w:cs="Arial"/>
          <w:sz w:val="22"/>
          <w:szCs w:val="22"/>
        </w:rPr>
        <w:t>Ethereum</w:t>
      </w:r>
      <w:proofErr w:type="spellEnd"/>
      <w:r w:rsidRPr="00472711">
        <w:rPr>
          <w:rFonts w:ascii="Arial" w:hAnsi="Arial" w:cs="Arial"/>
          <w:sz w:val="22"/>
          <w:szCs w:val="22"/>
        </w:rPr>
        <w:t>. Gold, however, maintains consistently low volatility throughout the years.</w:t>
      </w:r>
    </w:p>
    <w:p w:rsidR="00472711" w:rsidRDefault="00472711" w:rsidP="00472711">
      <w:pPr>
        <w:pStyle w:val="NormalWeb"/>
        <w:spacing w:line="360" w:lineRule="auto"/>
        <w:jc w:val="both"/>
        <w:rPr>
          <w:rStyle w:val="Strong"/>
          <w:rFonts w:ascii="Arial" w:hAnsi="Arial" w:cs="Arial"/>
          <w:sz w:val="22"/>
          <w:szCs w:val="22"/>
        </w:rPr>
      </w:pPr>
      <w:r w:rsidRPr="00472711">
        <w:rPr>
          <w:rStyle w:val="Strong"/>
          <w:rFonts w:ascii="Arial" w:hAnsi="Arial" w:cs="Arial"/>
          <w:sz w:val="22"/>
          <w:szCs w:val="22"/>
        </w:rPr>
        <w:t>Highlight the stability of Gold</w:t>
      </w:r>
    </w:p>
    <w:p w:rsidR="00472711" w:rsidRPr="00472711" w:rsidRDefault="00472711" w:rsidP="00472711">
      <w:pPr>
        <w:pStyle w:val="NormalWeb"/>
        <w:numPr>
          <w:ilvl w:val="0"/>
          <w:numId w:val="1"/>
        </w:numPr>
        <w:spacing w:line="360" w:lineRule="auto"/>
        <w:jc w:val="both"/>
        <w:rPr>
          <w:rFonts w:ascii="Arial" w:hAnsi="Arial" w:cs="Arial"/>
          <w:sz w:val="22"/>
          <w:szCs w:val="22"/>
        </w:rPr>
      </w:pPr>
      <w:r w:rsidRPr="00472711">
        <w:rPr>
          <w:rFonts w:ascii="Arial" w:hAnsi="Arial" w:cs="Arial"/>
          <w:sz w:val="22"/>
          <w:szCs w:val="22"/>
        </w:rPr>
        <w:t xml:space="preserve">Gold demonstrates relatively stable </w:t>
      </w:r>
      <w:proofErr w:type="spellStart"/>
      <w:r w:rsidRPr="00472711">
        <w:rPr>
          <w:rFonts w:ascii="Arial" w:hAnsi="Arial" w:cs="Arial"/>
          <w:sz w:val="22"/>
          <w:szCs w:val="22"/>
        </w:rPr>
        <w:t>behaviour</w:t>
      </w:r>
      <w:proofErr w:type="spellEnd"/>
      <w:r w:rsidRPr="00472711">
        <w:rPr>
          <w:rFonts w:ascii="Arial" w:hAnsi="Arial" w:cs="Arial"/>
          <w:sz w:val="22"/>
          <w:szCs w:val="22"/>
        </w:rPr>
        <w:t xml:space="preserve"> compared to </w:t>
      </w:r>
      <w:proofErr w:type="spellStart"/>
      <w:r w:rsidRPr="00472711">
        <w:rPr>
          <w:rFonts w:ascii="Arial" w:hAnsi="Arial" w:cs="Arial"/>
          <w:sz w:val="22"/>
          <w:szCs w:val="22"/>
        </w:rPr>
        <w:t>cryptocurrencies</w:t>
      </w:r>
      <w:proofErr w:type="spellEnd"/>
      <w:r w:rsidRPr="00472711">
        <w:rPr>
          <w:rFonts w:ascii="Arial" w:hAnsi="Arial" w:cs="Arial"/>
          <w:sz w:val="22"/>
          <w:szCs w:val="22"/>
        </w:rPr>
        <w:t>. Its price moves gradually over time without extreme spikes or crashes, reinforcing its reputation as a stable store of value.</w:t>
      </w:r>
    </w:p>
    <w:p w:rsidR="00E22595" w:rsidRDefault="00E22595" w:rsidP="00472711">
      <w:pPr>
        <w:pStyle w:val="NormalWeb"/>
        <w:spacing w:line="360" w:lineRule="auto"/>
        <w:jc w:val="both"/>
        <w:rPr>
          <w:rStyle w:val="Strong"/>
          <w:rFonts w:ascii="Arial" w:hAnsi="Arial" w:cs="Arial"/>
          <w:sz w:val="22"/>
          <w:szCs w:val="22"/>
        </w:rPr>
      </w:pPr>
    </w:p>
    <w:p w:rsidR="00E22595" w:rsidRDefault="00E22595" w:rsidP="00472711">
      <w:pPr>
        <w:pStyle w:val="NormalWeb"/>
        <w:spacing w:line="360" w:lineRule="auto"/>
        <w:jc w:val="both"/>
        <w:rPr>
          <w:rStyle w:val="Strong"/>
          <w:rFonts w:ascii="Arial" w:hAnsi="Arial" w:cs="Arial"/>
          <w:sz w:val="22"/>
          <w:szCs w:val="22"/>
        </w:rPr>
      </w:pPr>
    </w:p>
    <w:p w:rsidR="00472711" w:rsidRDefault="00472711" w:rsidP="00472711">
      <w:pPr>
        <w:pStyle w:val="NormalWeb"/>
        <w:spacing w:line="360" w:lineRule="auto"/>
        <w:jc w:val="both"/>
        <w:rPr>
          <w:rStyle w:val="Strong"/>
          <w:rFonts w:ascii="Arial" w:hAnsi="Arial" w:cs="Arial"/>
          <w:sz w:val="22"/>
          <w:szCs w:val="22"/>
        </w:rPr>
      </w:pPr>
      <w:bookmarkStart w:id="0" w:name="_GoBack"/>
      <w:bookmarkEnd w:id="0"/>
      <w:r w:rsidRPr="00472711">
        <w:rPr>
          <w:rStyle w:val="Strong"/>
          <w:rFonts w:ascii="Arial" w:hAnsi="Arial" w:cs="Arial"/>
          <w:sz w:val="22"/>
          <w:szCs w:val="22"/>
        </w:rPr>
        <w:lastRenderedPageBreak/>
        <w:t>Interpret risk versus growth potential</w:t>
      </w:r>
    </w:p>
    <w:p w:rsidR="00472711" w:rsidRPr="00472711" w:rsidRDefault="00472711" w:rsidP="00472711">
      <w:pPr>
        <w:pStyle w:val="NormalWeb"/>
        <w:numPr>
          <w:ilvl w:val="0"/>
          <w:numId w:val="1"/>
        </w:numPr>
        <w:spacing w:line="360" w:lineRule="auto"/>
        <w:jc w:val="both"/>
        <w:rPr>
          <w:rFonts w:ascii="Arial" w:hAnsi="Arial" w:cs="Arial"/>
          <w:sz w:val="22"/>
          <w:szCs w:val="22"/>
        </w:rPr>
      </w:pPr>
      <w:r w:rsidRPr="00472711">
        <w:rPr>
          <w:rFonts w:ascii="Arial" w:hAnsi="Arial" w:cs="Arial"/>
          <w:sz w:val="22"/>
          <w:szCs w:val="22"/>
        </w:rPr>
        <w:t xml:space="preserve">The comparison reveals a clear trade-off between stability and potential return. </w:t>
      </w:r>
      <w:proofErr w:type="spellStart"/>
      <w:r w:rsidRPr="00472711">
        <w:rPr>
          <w:rFonts w:ascii="Arial" w:hAnsi="Arial" w:cs="Arial"/>
          <w:sz w:val="22"/>
          <w:szCs w:val="22"/>
        </w:rPr>
        <w:t>Cryptocurrencies</w:t>
      </w:r>
      <w:proofErr w:type="spellEnd"/>
      <w:r w:rsidRPr="00472711">
        <w:rPr>
          <w:rFonts w:ascii="Arial" w:hAnsi="Arial" w:cs="Arial"/>
          <w:sz w:val="22"/>
          <w:szCs w:val="22"/>
        </w:rPr>
        <w:t xml:space="preserve"> offer higher growth potential due to rapid price increases, but they also involve significantly higher risk because of large price swings. Gold provides greater stability but typically grows at a slower and steadier pace.</w:t>
      </w:r>
    </w:p>
    <w:p w:rsidR="00472711" w:rsidRDefault="00472711" w:rsidP="00472711">
      <w:pPr>
        <w:pStyle w:val="NormalWeb"/>
        <w:spacing w:line="360" w:lineRule="auto"/>
        <w:jc w:val="both"/>
        <w:rPr>
          <w:rStyle w:val="Strong"/>
          <w:rFonts w:ascii="Arial" w:hAnsi="Arial" w:cs="Arial"/>
          <w:sz w:val="22"/>
          <w:szCs w:val="22"/>
        </w:rPr>
      </w:pPr>
      <w:r w:rsidRPr="00472711">
        <w:rPr>
          <w:rStyle w:val="Strong"/>
          <w:rFonts w:ascii="Arial" w:hAnsi="Arial" w:cs="Arial"/>
          <w:sz w:val="22"/>
          <w:szCs w:val="22"/>
        </w:rPr>
        <w:t>Connect insights to TER</w:t>
      </w:r>
    </w:p>
    <w:p w:rsidR="00472711" w:rsidRPr="00472711" w:rsidRDefault="00472711" w:rsidP="00472711">
      <w:pPr>
        <w:pStyle w:val="NormalWeb"/>
        <w:numPr>
          <w:ilvl w:val="0"/>
          <w:numId w:val="1"/>
        </w:numPr>
        <w:spacing w:line="360" w:lineRule="auto"/>
        <w:jc w:val="both"/>
        <w:rPr>
          <w:rFonts w:ascii="Arial" w:hAnsi="Arial" w:cs="Arial"/>
          <w:sz w:val="22"/>
          <w:szCs w:val="22"/>
        </w:rPr>
      </w:pPr>
      <w:r w:rsidRPr="00472711">
        <w:rPr>
          <w:rFonts w:ascii="Arial" w:hAnsi="Arial" w:cs="Arial"/>
          <w:sz w:val="22"/>
          <w:szCs w:val="22"/>
        </w:rPr>
        <w:t xml:space="preserve">These patterns support the idea that a gold-backed digital asset such as TER could potentially combine the stability of Gold with the accessibility of digital assets, suggesting lower volatility compared to traditional </w:t>
      </w:r>
      <w:proofErr w:type="spellStart"/>
      <w:r w:rsidRPr="00472711">
        <w:rPr>
          <w:rFonts w:ascii="Arial" w:hAnsi="Arial" w:cs="Arial"/>
          <w:sz w:val="22"/>
          <w:szCs w:val="22"/>
        </w:rPr>
        <w:t>cryptocurrencies</w:t>
      </w:r>
      <w:proofErr w:type="spellEnd"/>
      <w:r w:rsidRPr="00472711">
        <w:rPr>
          <w:rFonts w:ascii="Arial" w:hAnsi="Arial" w:cs="Arial"/>
          <w:sz w:val="22"/>
          <w:szCs w:val="22"/>
        </w:rPr>
        <w:t>.</w:t>
      </w:r>
    </w:p>
    <w:p w:rsidR="006B0782" w:rsidRDefault="006B0782"/>
    <w:sectPr w:rsidR="006B0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022509"/>
    <w:multiLevelType w:val="hybridMultilevel"/>
    <w:tmpl w:val="053E69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3613BF8"/>
    <w:multiLevelType w:val="hybridMultilevel"/>
    <w:tmpl w:val="F314EB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64D"/>
    <w:rsid w:val="003F295A"/>
    <w:rsid w:val="00472711"/>
    <w:rsid w:val="006B0782"/>
    <w:rsid w:val="00AD7495"/>
    <w:rsid w:val="00B0764D"/>
    <w:rsid w:val="00E22595"/>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FAAC14-C5A8-4995-8766-F8B017C3A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32"/>
        <w:lang w:val="en-US" w:eastAsia="en-US" w:bidi="bo-C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711"/>
    <w:pPr>
      <w:spacing w:before="100" w:beforeAutospacing="1" w:after="100" w:afterAutospacing="1" w:line="240" w:lineRule="auto"/>
    </w:pPr>
    <w:rPr>
      <w:rFonts w:ascii="Times New Roman" w:eastAsia="Times New Roman" w:hAnsi="Times New Roman" w:cs="Times New Roman"/>
      <w:sz w:val="24"/>
      <w:szCs w:val="24"/>
      <w:lang w:bidi="dz-BT"/>
    </w:rPr>
  </w:style>
  <w:style w:type="character" w:styleId="Strong">
    <w:name w:val="Strong"/>
    <w:basedOn w:val="DefaultParagraphFont"/>
    <w:uiPriority w:val="22"/>
    <w:qFormat/>
    <w:rsid w:val="004727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8576727">
      <w:bodyDiv w:val="1"/>
      <w:marLeft w:val="0"/>
      <w:marRight w:val="0"/>
      <w:marTop w:val="0"/>
      <w:marBottom w:val="0"/>
      <w:divBdr>
        <w:top w:val="none" w:sz="0" w:space="0" w:color="auto"/>
        <w:left w:val="none" w:sz="0" w:space="0" w:color="auto"/>
        <w:bottom w:val="none" w:sz="0" w:space="0" w:color="auto"/>
        <w:right w:val="none" w:sz="0" w:space="0" w:color="auto"/>
      </w:divBdr>
    </w:div>
    <w:div w:id="192298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A9F965EE-653F-435D-A00E-313EE65AD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2026-03-07T16:54:00Z</dcterms:created>
  <dcterms:modified xsi:type="dcterms:W3CDTF">2026-03-07T17:08:00Z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83b80f4e-b9ad-4e41-ac0c-9e6ccdd43632</vt:lpwstr>
  </property>
</Properties>
</file>