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Why Enterprise AI Needs an Intent-Based Control Plane</w:t>
      </w:r>
    </w:p>
    <w:p>
      <w:r>
        <w:rPr>
          <w:b/>
        </w:rPr>
        <w:t>Published by DecisionMesh</w:t>
        <w:br/>
      </w:r>
      <w:r>
        <w:t>Date: May 13, 2026</w:t>
      </w:r>
    </w:p>
    <w:p>
      <w:pPr/>
      <w:r>
        <w:t xml:space="preserve">Artificial Intelligence is rapidly moving from experimentation to operational decision-making. </w:t>
        <w:br/>
        <w:t xml:space="preserve">Enterprises are now deploying AI systems for fraud detection, compliance monitoring, customer support, workflow automation, document intelligence, and operational analytics. </w:t>
        <w:br/>
        <w:t>However, most organizations still lack a centralized mechanism to govern how AI decisions are executed, audited, controlled, and approved.</w:t>
      </w:r>
    </w:p>
    <w:p>
      <w:pPr/>
      <w:r>
        <w:t>This is where an Intent-Based AI Control Plane becomes critical.</w:t>
      </w:r>
    </w:p>
    <w:p>
      <w:pPr/>
      <w:r>
        <w:t xml:space="preserve">Traditional AI architectures focus primarily on model accuracy and inference performance. </w:t>
        <w:br/>
        <w:t>But enterprise AI systems require much more than inference. They require governance, runtime controls, observability, accountability, and policy enforcement.</w:t>
      </w:r>
    </w:p>
    <w:p>
      <w:pPr/>
      <w:r>
        <w:t xml:space="preserve">An intent-based AI control plane introduces a structured execution layer between AI models and enterprise actions. </w:t>
        <w:br/>
        <w:t>Instead of allowing AI systems to directly trigger downstream operations, the control plane interprets the business intent, applies governance policies, validates risk thresholds, enforces approvals, records audit trails, and manages execution workflows.</w:t>
      </w:r>
    </w:p>
    <w:p>
      <w:pPr/>
      <w:r>
        <w:t>This architecture transforms AI from a black-box automation system into an accountable enterprise decision framework.</w:t>
      </w:r>
    </w:p>
    <w:p>
      <w:pPr/>
      <w:r>
        <w:t xml:space="preserve">One of the biggest enterprise concerns around AI adoption is uncontrolled execution. </w:t>
        <w:br/>
        <w:t xml:space="preserve">Organizations fear situations where AI systems make financial decisions, trigger workflows, process customer data, or execute actions without oversight. </w:t>
        <w:br/>
        <w:t>Regulatory pressure is also increasing globally around explainability, traceability, and accountability for automated decisions.</w:t>
      </w:r>
    </w:p>
    <w:p>
      <w:pPr/>
      <w:r>
        <w:t>An intent-centric control plane solves these concerns by introducing runtime governance.</w:t>
      </w:r>
    </w:p>
    <w:p>
      <w:pPr/>
      <w:r>
        <w:t>For example, a payment fraud detection workflow may involve:</w:t>
        <w:br/>
        <w:t>- transaction evaluation</w:t>
        <w:br/>
        <w:t>- policy enforcement</w:t>
        <w:br/>
        <w:t>- risk scoring</w:t>
        <w:br/>
        <w:t>- human approvals</w:t>
        <w:br/>
        <w:t>- escalation workflows</w:t>
        <w:br/>
        <w:t>- audit logging</w:t>
        <w:br/>
        <w:t>- execution monitoring</w:t>
      </w:r>
    </w:p>
    <w:p>
      <w:pPr/>
      <w:r>
        <w:t>Rather than embedding these concerns directly inside AI models, the control plane externalizes governance and execution policies.</w:t>
      </w:r>
    </w:p>
    <w:p>
      <w:pPr/>
      <w:r>
        <w:t>This separation offers major advantages:</w:t>
        <w:br/>
        <w:t>- reusable governance logic</w:t>
        <w:br/>
        <w:t>- centralized compliance controls</w:t>
        <w:br/>
        <w:t>- runtime observability</w:t>
        <w:br/>
        <w:t>- audit-ready workflows</w:t>
        <w:br/>
        <w:t>- explainable execution paths</w:t>
        <w:br/>
        <w:t>- human-in-the-loop approvals</w:t>
      </w:r>
    </w:p>
    <w:p>
      <w:pPr/>
      <w:r>
        <w:t>Modern enterprises are increasingly adopting this architectural approach because AI systems are no longer isolated tools — they are becoming operational infrastructure.</w:t>
      </w:r>
    </w:p>
    <w:p>
      <w:pPr/>
      <w:r>
        <w:t>As AI adoption grows, organizations will require:</w:t>
        <w:br/>
        <w:t>- AI runtime governance</w:t>
        <w:br/>
        <w:t>- AI execution accountability</w:t>
        <w:br/>
        <w:t>- AI workflow traceability</w:t>
        <w:br/>
        <w:t>- policy-driven AI execution</w:t>
        <w:br/>
        <w:t>- enterprise AI observability</w:t>
        <w:br/>
        <w:t>- decision auditability</w:t>
      </w:r>
    </w:p>
    <w:p>
      <w:pPr/>
      <w:r>
        <w:t xml:space="preserve">The future of enterprise AI will not be determined solely by model intelligence. </w:t>
        <w:br/>
        <w:t>It will be determined by how safely, transparently, and governably AI systems operate within production environments.</w:t>
      </w:r>
    </w:p>
    <w:p>
      <w:pPr/>
      <w:r>
        <w:t>This is why intent-based AI control planes are emerging as a foundational layer in enterprise AI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