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600"/>
              <w:left w:type="dxa" w:w="400"/>
              <w:bottom w:type="dxa" w:w="600"/>
              <w:right w:type="dxa" w:w="400"/>
            </w:tcMar>
            <w:vAlign w:val="center"/>
          </w:tcPr>
          <w:p>
            <w:pPr>
              <w:spacing w:after="120" w:before="0"/>
              <w:jc w:val="center"/>
            </w:pPr>
            <w:r>
              <w:rPr>
                <w:rFonts w:ascii="Arial" w:cs="Arial" w:eastAsia="Arial" w:hAnsi="Arial"/>
                <w:b/>
                <w:bCs/>
                <w:color w:val="FFFFFF"/>
                <w:sz w:val="72"/>
                <w:szCs w:val="72"/>
              </w:rPr>
              <w:t xml:space="preserve">DecisionMesh</w:t>
            </w:r>
          </w:p>
          <w:p>
            <w:pPr>
              <w:spacing w:after="120" w:before="0"/>
              <w:jc w:val="center"/>
            </w:pPr>
            <w:r>
              <w:rPr>
                <w:rFonts w:ascii="Arial" w:cs="Arial" w:eastAsia="Arial" w:hAnsi="Arial"/>
                <w:color w:val="93C5FD"/>
                <w:sz w:val="36"/>
                <w:szCs w:val="36"/>
              </w:rPr>
              <w:t xml:space="preserve">Strategic Discussion Document</w:t>
            </w:r>
          </w:p>
          <w:p>
            <w:pPr>
              <w:spacing w:after="0" w:before="0"/>
              <w:jc w:val="center"/>
            </w:pPr>
            <w:r>
              <w:rPr>
                <w:rFonts w:ascii="Arial" w:cs="Arial" w:eastAsia="Arial" w:hAnsi="Arial"/>
                <w:color w:val="64748B"/>
                <w:sz w:val="24"/>
                <w:szCs w:val="24"/>
              </w:rPr>
              <w:t xml:space="preserve">Product · Go-To-Market · Vertical Strategy · Build Roadmap</w:t>
            </w:r>
          </w:p>
          <w:p>
            <w:pPr>
              <w:spacing w:after="0" w:before="120"/>
              <w:jc w:val="center"/>
            </w:pPr>
            <w:r>
              <w:rPr>
                <w:rFonts w:ascii="Arial" w:cs="Arial" w:eastAsia="Arial" w:hAnsi="Arial"/>
                <w:color w:val="64748B"/>
                <w:sz w:val="20"/>
                <w:szCs w:val="20"/>
              </w:rPr>
              <w:t xml:space="preserve">April 2026  ·  Hyderabad, India</w:t>
            </w:r>
          </w:p>
        </w:tc>
      </w:tr>
    </w:tbl>
    <w:p>
      <w:pPr>
        <w:spacing w:after="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94A3B8" w:sz="1"/>
              <w:bottom w:val="single" w:color="94A3B8" w:sz="1"/>
              <w:right w:val="single" w:color="94A3B8" w:sz="1"/>
            </w:tcBorders>
            <w:shd w:fill="F8FAFC" w:val="clear"/>
            <w:tcMar>
              <w:top w:type="dxa" w:w="140"/>
              <w:left w:type="dxa" w:w="200"/>
              <w:bottom w:type="dxa" w:w="140"/>
              <w:right w:type="dxa" w:w="200"/>
            </w:tcMar>
          </w:tcPr>
          <w:p>
            <w:pPr>
              <w:spacing w:after="80" w:before="0"/>
            </w:pPr>
            <w:r>
              <w:rPr>
                <w:rFonts w:ascii="Arial" w:cs="Arial" w:eastAsia="Arial" w:hAnsi="Arial"/>
                <w:b/>
                <w:bCs/>
                <w:color w:val="1E3A5F"/>
                <w:sz w:val="22"/>
                <w:szCs w:val="22"/>
              </w:rPr>
              <w:t xml:space="preserve">About this document</w:t>
            </w:r>
          </w:p>
          <w:p>
            <w:pPr>
              <w:spacing w:after="80" w:before="80"/>
            </w:pPr>
            <w:r>
              <w:rPr>
                <w:rFonts w:ascii="Arial" w:cs="Arial" w:eastAsia="Arial" w:hAnsi="Arial"/>
                <w:sz w:val="22"/>
                <w:szCs w:val="22"/>
              </w:rPr>
              <w:t xml:space="preserve">This document captures a full strategic review of DecisionMesh — covering the technical architecture, billing implementation, go-to-market positioning, investor deck analysis, user personas, and vertical expansion roadmap. Each section presents the question raised, followed by an honest assessment and concrete recommendation.</w:t>
            </w:r>
          </w:p>
          <w:p>
            <w:pPr>
              <w:spacing w:after="80" w:before="80"/>
            </w:pPr>
            <w:r>
              <w:rPr>
                <w:rFonts w:ascii="Arial" w:cs="Arial" w:eastAsia="Arial" w:hAnsi="Arial"/>
                <w:sz w:val="22"/>
                <w:szCs w:val="22"/>
              </w:rPr>
              <w:t xml:space="preserve">The advice throughout is direct and sometimes uncomfortable. That is intentional. The goal is not to validate what has been built but to identify what needs to change before the first paying customer is onboarded.</w:t>
            </w:r>
          </w:p>
        </w:tc>
      </w:tr>
    </w:tbl>
    <w:p>
      <w:pPr>
        <w:spacing w:after="0" w:before="200"/>
      </w:pPr>
    </w:p>
    <w:p>
      <w:pPr>
        <w:pStyle w:val="Heading1"/>
        <w:pBdr>
          <w:bottom w:val="single" w:color="1E3A5F" w:sz="6" w:space="4"/>
        </w:pBdr>
        <w:spacing w:after="200" w:before="0"/>
      </w:pPr>
      <w:r>
        <w:rPr>
          <w:rFonts w:ascii="Arial" w:cs="Arial" w:eastAsia="Arial" w:hAnsi="Arial"/>
          <w:b/>
          <w:bCs/>
          <w:color w:val="1E3A5F"/>
          <w:sz w:val="36"/>
          <w:szCs w:val="36"/>
        </w:rP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E3A5F" w:sz="6" w:space="4"/>
        </w:pBdr>
        <w:spacing w:after="200" w:before="360"/>
      </w:pPr>
      <w:r>
        <w:rPr>
          <w:rFonts w:ascii="Arial" w:cs="Arial" w:eastAsia="Arial" w:hAnsi="Arial"/>
          <w:b/>
          <w:bCs/>
          <w:color w:val="1E3A5F"/>
          <w:sz w:val="36"/>
          <w:szCs w:val="36"/>
        </w:rPr>
        <w:t xml:space="preserve">1.  The Technical Foundation</w:t>
      </w:r>
    </w:p>
    <w:p>
      <w:pPr>
        <w:spacing w:after="80" w:before="80"/>
      </w:pPr>
      <w:r>
        <w:rPr>
          <w:rFonts w:ascii="Arial" w:cs="Arial" w:eastAsia="Arial" w:hAnsi="Arial"/>
          <w:sz w:val="22"/>
          <w:szCs w:val="22"/>
        </w:rPr>
        <w:t xml:space="preserve">The first phase of the discussion focused on getting the billing and payment infrastructure right — a prerequisite for onboarding any paying customer.</w:t>
      </w:r>
    </w:p>
    <w:p>
      <w:pPr>
        <w:spacing w:after="0" w:before="160"/>
      </w:pPr>
    </w:p>
    <w:p>
      <w:pPr>
        <w:pStyle w:val="Heading2"/>
        <w:spacing w:after="140" w:before="280"/>
      </w:pPr>
      <w:r>
        <w:rPr>
          <w:rFonts w:ascii="Arial" w:cs="Arial" w:eastAsia="Arial" w:hAnsi="Arial"/>
          <w:b/>
          <w:bCs/>
          <w:color w:val="1E3A5F"/>
          <w:sz w:val="28"/>
          <w:szCs w:val="28"/>
        </w:rPr>
        <w:t xml:space="preserve">1.1  The email bug that blocked Stripe checkout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EFF6FF" w:val="clear"/>
            <w:tcMar>
              <w:top w:type="dxa" w:w="100"/>
              <w:left w:type="dxa" w:w="200"/>
              <w:bottom w:type="dxa" w:w="100"/>
              <w:right w:type="dxa" w:w="200"/>
            </w:tcMar>
          </w:tcPr>
          <w:p>
            <w:pPr>
              <w:spacing w:after="0" w:before="0"/>
            </w:pPr>
            <w:r>
              <w:rPr>
                <w:rFonts w:ascii="Arial" w:cs="Arial" w:eastAsia="Arial" w:hAnsi="Arial"/>
                <w:b/>
                <w:bCs/>
                <w:color w:val="2563EB"/>
                <w:sz w:val="20"/>
                <w:szCs w:val="20"/>
              </w:rPr>
              <w:t xml:space="preserve">Q  </w:t>
            </w:r>
            <w:r>
              <w:rPr>
                <w:rFonts w:ascii="Arial" w:cs="Arial" w:eastAsia="Arial" w:hAnsi="Arial"/>
                <w:b/>
                <w:bCs/>
                <w:color w:val="1E3A5F"/>
                <w:sz w:val="20"/>
                <w:szCs w:val="20"/>
              </w:rPr>
              <w:t xml:space="preserve">POST /api/billing/checkout returning 400 — email is required — what is wrong?</w:t>
            </w:r>
          </w:p>
        </w:tc>
      </w:tr>
    </w:tbl>
    <w:p>
      <w:pPr>
        <w:spacing w:after="0" w:before="80"/>
      </w:pPr>
    </w:p>
    <w:p>
      <w:pPr>
        <w:spacing w:after="80" w:before="80"/>
      </w:pPr>
      <w:r>
        <w:rPr>
          <w:rFonts w:ascii="Arial" w:cs="Arial" w:eastAsia="Arial" w:hAnsi="Arial"/>
          <w:sz w:val="22"/>
          <w:szCs w:val="22"/>
        </w:rPr>
        <w:t xml:space="preserve">The bug was in Billing.jsx. The stripeCheckout() function was referencing user.email but user was never defined in the component. The email was already correctly derived as userEmail from keycloak?.tokenParsed?.email on line 386. Two occurrences needed fixing:</w:t>
      </w:r>
    </w:p>
    <w:p>
      <w:pPr>
        <w:pStyle w:val="ListParagraph"/>
        <w:numPr>
          <w:ilvl w:val="0"/>
          <w:numId w:val="2"/>
        </w:numPr>
        <w:spacing w:after="60" w:before="60"/>
      </w:pPr>
      <w:r>
        <w:rPr>
          <w:rFonts w:ascii="Arial" w:cs="Arial" w:eastAsia="Arial" w:hAnsi="Arial"/>
          <w:sz w:val="22"/>
          <w:szCs w:val="22"/>
        </w:rPr>
        <w:t xml:space="preserve">stripeCheckout() body: user.email → userEmail</w:t>
      </w:r>
    </w:p>
    <w:p>
      <w:pPr>
        <w:pStyle w:val="ListParagraph"/>
        <w:numPr>
          <w:ilvl w:val="0"/>
          <w:numId w:val="2"/>
        </w:numPr>
        <w:spacing w:after="60" w:before="60"/>
      </w:pPr>
      <w:r>
        <w:rPr>
          <w:rFonts w:ascii="Arial" w:cs="Arial" w:eastAsia="Arial" w:hAnsi="Arial"/>
          <w:sz w:val="22"/>
          <w:szCs w:val="22"/>
        </w:rPr>
        <w:t xml:space="preserve">handleSelectPlan() debug log: console.log("email:", user.email) → userEmail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F7D0" w:sz="1"/>
              <w:left w:val="single" w:color="BBF7D0" w:sz="1"/>
              <w:bottom w:val="single" w:color="BBF7D0" w:sz="1"/>
              <w:right w:val="single" w:color="BBF7D0" w:sz="1"/>
            </w:tcBorders>
            <w:shd w:fill="F0FDF4" w:val="clear"/>
            <w:tcMar>
              <w:top w:type="dxa" w:w="140"/>
              <w:left w:type="dxa" w:w="200"/>
              <w:bottom w:type="dxa" w:w="140"/>
              <w:right w:type="dxa" w:w="200"/>
            </w:tcMar>
          </w:tcPr>
          <w:p>
            <w:pPr>
              <w:spacing w:after="80" w:before="80"/>
            </w:pPr>
            <w:r>
              <w:rPr>
                <w:rFonts w:ascii="Arial" w:cs="Arial" w:eastAsia="Arial" w:hAnsi="Arial"/>
                <w:sz w:val="22"/>
                <w:szCs w:val="22"/>
              </w:rPr>
              <w:t xml:space="preserve">Additionally, a guard was added before calling stripeCheckout() to surface the edge case where the Zitadel token lacks an email claim — rather than sending an empty string and getting a cryptic 400 from the server.</w:t>
            </w:r>
          </w:p>
        </w:tc>
      </w:tr>
    </w:tbl>
    <w:p>
      <w:pPr>
        <w:spacing w:after="0" w:before="160"/>
      </w:pPr>
    </w:p>
    <w:p>
      <w:pPr>
        <w:pStyle w:val="Heading2"/>
        <w:spacing w:after="140" w:before="280"/>
      </w:pPr>
      <w:r>
        <w:rPr>
          <w:rFonts w:ascii="Arial" w:cs="Arial" w:eastAsia="Arial" w:hAnsi="Arial"/>
          <w:b/>
          <w:bCs/>
          <w:color w:val="1E3A5F"/>
          <w:sz w:val="28"/>
          <w:szCs w:val="28"/>
        </w:rPr>
        <w:t xml:space="preserve">1.2  Stripe price IDs — placeholder strings rejected by the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EFF6FF" w:val="clear"/>
            <w:tcMar>
              <w:top w:type="dxa" w:w="100"/>
              <w:left w:type="dxa" w:w="200"/>
              <w:bottom w:type="dxa" w:w="100"/>
              <w:right w:type="dxa" w:w="200"/>
            </w:tcMar>
          </w:tcPr>
          <w:p>
            <w:pPr>
              <w:spacing w:after="0" w:before="0"/>
            </w:pPr>
            <w:r>
              <w:rPr>
                <w:rFonts w:ascii="Arial" w:cs="Arial" w:eastAsia="Arial" w:hAnsi="Arial"/>
                <w:b/>
                <w:bCs/>
                <w:color w:val="2563EB"/>
                <w:sz w:val="20"/>
                <w:szCs w:val="20"/>
              </w:rPr>
              <w:t xml:space="preserve">Q  </w:t>
            </w:r>
            <w:r>
              <w:rPr>
                <w:rFonts w:ascii="Arial" w:cs="Arial" w:eastAsia="Arial" w:hAnsi="Arial"/>
                <w:b/>
                <w:bCs/>
                <w:color w:val="1E3A5F"/>
                <w:sz w:val="20"/>
                <w:szCs w:val="20"/>
              </w:rPr>
              <w:t xml:space="preserve">Stripe returning "No such price: price_builder_monthly" — resource_missing error</w:t>
            </w:r>
          </w:p>
        </w:tc>
      </w:tr>
    </w:tbl>
    <w:p>
      <w:pPr>
        <w:spacing w:after="0" w:before="80"/>
      </w:pPr>
    </w:p>
    <w:p>
      <w:pPr>
        <w:spacing w:after="80" w:before="80"/>
      </w:pPr>
      <w:r>
        <w:rPr>
          <w:rFonts w:ascii="Arial" w:cs="Arial" w:eastAsia="Arial" w:hAnsi="Arial"/>
          <w:sz w:val="22"/>
          <w:szCs w:val="22"/>
        </w:rPr>
        <w:t xml:space="preserve">The PLANS and CREDIT_PACKS objects in Billing.jsx were using placeholder strings (price_builder_monthly, price_credits_starter) instead of real Stripe price IDs. These need to be created in the Stripe Dashboard first.</w:t>
      </w:r>
    </w:p>
    <w:p>
      <w:pPr>
        <w:spacing w:after="80" w:before="80"/>
      </w:pPr>
      <w:r>
        <w:rPr>
          <w:rFonts w:ascii="Arial" w:cs="Arial" w:eastAsia="Arial" w:hAnsi="Arial"/>
          <w:sz w:val="22"/>
          <w:szCs w:val="22"/>
        </w:rPr>
        <w:t xml:space="preserve">The fix had two parts: create real prices in Stripe, and stop trusting client-supplied priceId. The backend now resolves price IDs server-side from application.properties via a priceMap in StripeService — the frontend sends a plan key (builder, pro, credits_starter) and the backend looks up the real price_xxx ID.</w:t>
      </w:r>
    </w:p>
    <w:p>
      <w:pPr>
        <w:spacing w:after="80" w:before="80"/>
      </w:pPr>
      <w:r>
        <w:rPr>
          <w:rFonts w:ascii="Arial" w:cs="Arial" w:eastAsia="Arial" w:hAnsi="Arial"/>
          <w:sz w:val="22"/>
          <w:szCs w:val="22"/>
        </w:rPr>
        <w:t xml:space="preserve">This also closed a security gap: a user could previously supply any arbitrary Stripe price ID in the request body.</w:t>
      </w:r>
    </w:p>
    <w:p>
      <w:pPr>
        <w:spacing w:after="0" w:before="160"/>
      </w:pPr>
    </w:p>
    <w:p>
      <w:pPr>
        <w:pStyle w:val="Heading2"/>
        <w:spacing w:after="140" w:before="280"/>
      </w:pPr>
      <w:r>
        <w:rPr>
          <w:rFonts w:ascii="Arial" w:cs="Arial" w:eastAsia="Arial" w:hAnsi="Arial"/>
          <w:b/>
          <w:bCs/>
          <w:color w:val="1E3A5F"/>
          <w:sz w:val="28"/>
          <w:szCs w:val="28"/>
        </w:rPr>
        <w:t xml:space="preserve">1.3  Razorpay — wrong API used for subscriptions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EFF6FF" w:val="clear"/>
            <w:tcMar>
              <w:top w:type="dxa" w:w="100"/>
              <w:left w:type="dxa" w:w="200"/>
              <w:bottom w:type="dxa" w:w="100"/>
              <w:right w:type="dxa" w:w="200"/>
            </w:tcMar>
          </w:tcPr>
          <w:p>
            <w:pPr>
              <w:spacing w:after="0" w:before="0"/>
            </w:pPr>
            <w:r>
              <w:rPr>
                <w:rFonts w:ascii="Arial" w:cs="Arial" w:eastAsia="Arial" w:hAnsi="Arial"/>
                <w:b/>
                <w:bCs/>
                <w:color w:val="2563EB"/>
                <w:sz w:val="20"/>
                <w:szCs w:val="20"/>
              </w:rPr>
              <w:t xml:space="preserve">Q  </w:t>
            </w:r>
            <w:r>
              <w:rPr>
                <w:rFonts w:ascii="Arial" w:cs="Arial" w:eastAsia="Arial" w:hAnsi="Arial"/>
                <w:b/>
                <w:bCs/>
                <w:color w:val="1E3A5F"/>
                <w:sz w:val="20"/>
                <w:szCs w:val="20"/>
              </w:rPr>
              <w:t xml:space="preserve">Razorpay credit packs and subscriptions — do I need to create plan IDs in the dashboard?</w:t>
            </w:r>
          </w:p>
        </w:tc>
      </w:tr>
    </w:tbl>
    <w:p>
      <w:pPr>
        <w:spacing w:after="0" w:before="80"/>
      </w:pPr>
    </w:p>
    <w:p>
      <w:pPr>
        <w:spacing w:after="80" w:before="80"/>
      </w:pPr>
      <w:r>
        <w:rPr>
          <w:rFonts w:ascii="Arial" w:cs="Arial" w:eastAsia="Arial" w:hAnsi="Arial"/>
          <w:sz w:val="22"/>
          <w:szCs w:val="22"/>
        </w:rPr>
        <w:t xml:space="preserve">There are two separate flows depending on payment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Payment type</w:t>
            </w:r>
          </w:p>
        </w:tc>
        <w:tc>
          <w:tcPr>
            <w:tcW w:type="dxa" w:w="6084"/>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to create</w:t>
            </w:r>
          </w:p>
        </w:tc>
      </w:tr>
      <w:tr>
        <w:tc>
          <w:tcPr>
            <w:tcW w:type="dxa" w:w="3276"/>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b/>
                <w:bCs/>
                <w:color w:val="1E3A5F"/>
                <w:sz w:val="20"/>
                <w:szCs w:val="20"/>
              </w:rPr>
              <w:t xml:space="preserve">Subscription plans (Hobby, Builder, Pro)</w:t>
            </w:r>
          </w:p>
        </w:tc>
        <w:tc>
          <w:tcPr>
            <w:tcW w:type="dxa" w:w="6084"/>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374151"/>
                <w:sz w:val="20"/>
                <w:szCs w:val="20"/>
              </w:rPr>
              <w:t xml:space="preserve">Must create Plan IDs in Razorpay Dashboard (plan_xxx). These carry the INR amount and billing interval.</w:t>
            </w:r>
          </w:p>
        </w:tc>
      </w:tr>
      <w:tr>
        <w:tc>
          <w:tcPr>
            <w:tcW w:type="dxa" w:w="32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20"/>
                <w:szCs w:val="20"/>
              </w:rPr>
              <w:t xml:space="preserve">Credit packs (one-time)</w:t>
            </w:r>
          </w:p>
        </w:tc>
        <w:tc>
          <w:tcPr>
            <w:tcW w:type="dxa" w:w="608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20"/>
                <w:szCs w:val="20"/>
              </w:rPr>
              <w:t xml:space="preserve">No dashboard setup needed. Pass INR amount directly to Orders API at runtime.</w:t>
            </w:r>
          </w:p>
        </w:tc>
      </w:tr>
    </w:tbl>
    <w:p>
      <w:pPr>
        <w:spacing w:after="0" w:before="100"/>
      </w:pPr>
    </w:p>
    <w:p>
      <w:pPr>
        <w:spacing w:after="80" w:before="80"/>
      </w:pPr>
      <w:r>
        <w:rPr>
          <w:rFonts w:ascii="Arial" w:cs="Arial" w:eastAsia="Arial" w:hAnsi="Arial"/>
          <w:sz w:val="22"/>
          <w:szCs w:val="22"/>
        </w:rPr>
        <w:t xml:space="preserve">A deeper bug was found in RazorpayService: subscriptions were being sent to POST /v1/orders (the one-time payment API) instead of POST /v1/subscriptions. This caused every subscription plan to return orderId = null, crashing the frontend with "Failed to create Razorpay order". Fixed by routing subscription mode to the Subscriptions API and one-time payment mode to the Orders API.</w:t>
      </w:r>
    </w:p>
    <w:p>
      <w:pPr>
        <w:spacing w:after="0" w:before="160"/>
      </w:pPr>
    </w:p>
    <w:p>
      <w:pPr>
        <w:pStyle w:val="Heading2"/>
        <w:spacing w:after="140" w:before="280"/>
      </w:pPr>
      <w:r>
        <w:rPr>
          <w:rFonts w:ascii="Arial" w:cs="Arial" w:eastAsia="Arial" w:hAnsi="Arial"/>
          <w:b/>
          <w:bCs/>
          <w:color w:val="1E3A5F"/>
          <w:sz w:val="28"/>
          <w:szCs w:val="28"/>
        </w:rPr>
        <w:t xml:space="preserve">1.4  Credits not updating after 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EFF6FF" w:val="clear"/>
            <w:tcMar>
              <w:top w:type="dxa" w:w="100"/>
              <w:left w:type="dxa" w:w="200"/>
              <w:bottom w:type="dxa" w:w="100"/>
              <w:right w:type="dxa" w:w="200"/>
            </w:tcMar>
          </w:tcPr>
          <w:p>
            <w:pPr>
              <w:spacing w:after="0" w:before="0"/>
            </w:pPr>
            <w:r>
              <w:rPr>
                <w:rFonts w:ascii="Arial" w:cs="Arial" w:eastAsia="Arial" w:hAnsi="Arial"/>
                <w:b/>
                <w:bCs/>
                <w:color w:val="2563EB"/>
                <w:sz w:val="20"/>
                <w:szCs w:val="20"/>
              </w:rPr>
              <w:t xml:space="preserve">Q  </w:t>
            </w:r>
            <w:r>
              <w:rPr>
                <w:rFonts w:ascii="Arial" w:cs="Arial" w:eastAsia="Arial" w:hAnsi="Arial"/>
                <w:b/>
                <w:bCs/>
                <w:color w:val="1E3A5F"/>
                <w:sz w:val="20"/>
                <w:szCs w:val="20"/>
              </w:rPr>
              <w:t xml:space="preserve">Why are credits not being reflected in the UI after a successful payment?</w:t>
            </w:r>
          </w:p>
        </w:tc>
      </w:tr>
    </w:tbl>
    <w:p>
      <w:pPr>
        <w:spacing w:after="0" w:before="80"/>
      </w:pPr>
    </w:p>
    <w:p>
      <w:pPr>
        <w:spacing w:after="80" w:before="80"/>
      </w:pPr>
      <w:r>
        <w:rPr>
          <w:rFonts w:ascii="Arial" w:cs="Arial" w:eastAsia="Arial" w:hAnsi="Arial"/>
          <w:sz w:val="22"/>
          <w:szCs w:val="22"/>
        </w:rPr>
        <w:t xml:space="preserve">Four separate bugs were causing this:</w:t>
      </w:r>
    </w:p>
    <w:p>
      <w:pPr>
        <w:pStyle w:val="ListParagraph"/>
        <w:numPr>
          <w:ilvl w:val="0"/>
          <w:numId w:val="3"/>
        </w:numPr>
        <w:spacing w:after="60" w:before="60"/>
      </w:pPr>
      <w:r>
        <w:rPr>
          <w:rFonts w:ascii="Arial" w:cs="Arial" w:eastAsia="Arial" w:hAnsi="Arial"/>
          <w:sz w:val="22"/>
          <w:szCs w:val="22"/>
        </w:rPr>
        <w:t xml:space="preserve">BillingResource.verifyRazorpayPayment() contained a TODO comment — the credit grant was never implemented. Signature verification succeeded but nothing was written to the database.</w:t>
      </w:r>
    </w:p>
    <w:p>
      <w:pPr>
        <w:pStyle w:val="ListParagraph"/>
        <w:numPr>
          <w:ilvl w:val="0"/>
          <w:numId w:val="3"/>
        </w:numPr>
        <w:spacing w:after="60" w:before="60"/>
      </w:pPr>
      <w:r>
        <w:rPr>
          <w:rFonts w:ascii="Arial" w:cs="Arial" w:eastAsia="Arial" w:hAnsi="Arial"/>
          <w:sz w:val="22"/>
          <w:szCs w:val="22"/>
        </w:rPr>
        <w:t xml:space="preserve">RazorpayService.INR_PRICES map used old placeholder keys (price_builder_monthly) instead of the real Razorpay plan IDs and credit pack keys the frontend was sending. Every lookup returned 0L.</w:t>
      </w:r>
    </w:p>
    <w:p>
      <w:pPr>
        <w:pStyle w:val="ListParagraph"/>
        <w:numPr>
          <w:ilvl w:val="0"/>
          <w:numId w:val="3"/>
        </w:numPr>
        <w:spacing w:after="60" w:before="60"/>
      </w:pPr>
      <w:r>
        <w:rPr>
          <w:rFonts w:ascii="Arial" w:cs="Arial" w:eastAsia="Arial" w:hAnsi="Arial"/>
          <w:sz w:val="22"/>
          <w:szCs w:val="22"/>
        </w:rPr>
        <w:t xml:space="preserve">CreditLedgerService and SubscriptionService were not injected into BillingResource.</w:t>
      </w:r>
    </w:p>
    <w:p>
      <w:pPr>
        <w:pStyle w:val="ListParagraph"/>
        <w:numPr>
          <w:ilvl w:val="0"/>
          <w:numId w:val="3"/>
        </w:numPr>
        <w:spacing w:after="60" w:before="60"/>
      </w:pPr>
      <w:r>
        <w:rPr>
          <w:rFonts w:ascii="Arial" w:cs="Arial" w:eastAsia="Arial" w:hAnsi="Arial"/>
          <w:sz w:val="22"/>
          <w:szCs w:val="22"/>
        </w:rPr>
        <w:t xml:space="preserve">The Stripe webhook secret in application.properties was a placeholder (whsec_your_secret_here) — every Stripe webhook was being rejected with a 400, so no credits were granted for Stripe payments either.</w:t>
      </w:r>
    </w:p>
    <w:p>
      <w:pPr>
        <w:spacing w:after="0" w:before="160"/>
      </w:pPr>
    </w:p>
    <w:p>
      <w:pPr>
        <w:pStyle w:val="Heading2"/>
        <w:spacing w:after="140" w:before="280"/>
      </w:pPr>
      <w:r>
        <w:rPr>
          <w:rFonts w:ascii="Arial" w:cs="Arial" w:eastAsia="Arial" w:hAnsi="Arial"/>
          <w:b/>
          <w:bCs/>
          <w:color w:val="1E3A5F"/>
          <w:sz w:val="28"/>
          <w:szCs w:val="28"/>
        </w:rPr>
        <w:t xml:space="preserve">1.5  Multi-interval billing — quarterly, half-yearly, yearly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EFF6FF" w:val="clear"/>
            <w:tcMar>
              <w:top w:type="dxa" w:w="100"/>
              <w:left w:type="dxa" w:w="200"/>
              <w:bottom w:type="dxa" w:w="100"/>
              <w:right w:type="dxa" w:w="200"/>
            </w:tcMar>
          </w:tcPr>
          <w:p>
            <w:pPr>
              <w:spacing w:after="0" w:before="0"/>
            </w:pPr>
            <w:r>
              <w:rPr>
                <w:rFonts w:ascii="Arial" w:cs="Arial" w:eastAsia="Arial" w:hAnsi="Arial"/>
                <w:b/>
                <w:bCs/>
                <w:color w:val="2563EB"/>
                <w:sz w:val="20"/>
                <w:szCs w:val="20"/>
              </w:rPr>
              <w:t xml:space="preserve">Q  </w:t>
            </w:r>
            <w:r>
              <w:rPr>
                <w:rFonts w:ascii="Arial" w:cs="Arial" w:eastAsia="Arial" w:hAnsi="Arial"/>
                <w:b/>
                <w:bCs/>
                <w:color w:val="1E3A5F"/>
                <w:sz w:val="20"/>
                <w:szCs w:val="20"/>
              </w:rPr>
              <w:t xml:space="preserve">Adding quarterly, half-yearly, and yearly billing intervals for both Stripe and Razorpay</w:t>
            </w:r>
          </w:p>
        </w:tc>
      </w:tr>
    </w:tbl>
    <w:p>
      <w:pPr>
        <w:spacing w:after="0" w:before="80"/>
      </w:pPr>
    </w:p>
    <w:p>
      <w:pPr>
        <w:spacing w:after="80" w:before="80"/>
      </w:pPr>
      <w:r>
        <w:rPr>
          <w:rFonts w:ascii="Arial" w:cs="Arial" w:eastAsia="Arial" w:hAnsi="Arial"/>
          <w:sz w:val="22"/>
          <w:szCs w:val="22"/>
        </w:rPr>
        <w:t xml:space="preserve">Both gateways were extended to support four billing intervals with automatic discount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1140"/>
        <w:gridCol w:w="1140"/>
        <w:gridCol w:w="1140"/>
        <w:gridCol w:w="1140"/>
      </w:tblGrid>
      <w:tr>
        <w:tc>
          <w:tcPr>
            <w:tcW w:type="dxa" w:w="9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Interval</w:t>
            </w:r>
          </w:p>
        </w:tc>
        <w:tc>
          <w:tcPr>
            <w:tcW w:type="dxa" w:w="7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Discount</w:t>
            </w:r>
          </w:p>
        </w:tc>
        <w:tc>
          <w:tcPr>
            <w:tcW w:type="dxa" w:w="114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Builder USD</w:t>
            </w:r>
          </w:p>
        </w:tc>
        <w:tc>
          <w:tcPr>
            <w:tcW w:type="dxa" w:w="114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Builder INR</w:t>
            </w:r>
          </w:p>
        </w:tc>
        <w:tc>
          <w:tcPr>
            <w:tcW w:type="dxa" w:w="114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Pro USD</w:t>
            </w:r>
          </w:p>
        </w:tc>
        <w:tc>
          <w:tcPr>
            <w:tcW w:type="dxa" w:w="114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Pro INR</w:t>
            </w:r>
          </w:p>
        </w:tc>
      </w:tr>
      <w:tr>
        <w:tc>
          <w:tcPr>
            <w:tcW w:type="dxa" w:w="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Monthly</w:t>
            </w:r>
          </w:p>
        </w:tc>
        <w:tc>
          <w:tcPr>
            <w:tcW w:type="dxa" w:w="7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0%</w:t>
            </w:r>
          </w:p>
        </w:tc>
        <w:tc>
          <w:tcPr>
            <w:tcW w:type="dxa" w:w="11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$19/mo</w:t>
            </w:r>
          </w:p>
        </w:tc>
        <w:tc>
          <w:tcPr>
            <w:tcW w:type="dxa" w:w="11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₹1,599/mo</w:t>
            </w:r>
          </w:p>
        </w:tc>
        <w:tc>
          <w:tcPr>
            <w:tcW w:type="dxa" w:w="11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$49/mo</w:t>
            </w:r>
          </w:p>
        </w:tc>
        <w:tc>
          <w:tcPr>
            <w:tcW w:type="dxa" w:w="11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₹4,099/mo</w:t>
            </w:r>
          </w:p>
        </w:tc>
      </w:tr>
      <w:tr>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Quarterly</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10%</w:t>
            </w:r>
          </w:p>
        </w:tc>
        <w:tc>
          <w:tcPr>
            <w:tcW w:type="dxa" w:w="11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$51/qtr</w:t>
            </w:r>
          </w:p>
        </w:tc>
        <w:tc>
          <w:tcPr>
            <w:tcW w:type="dxa" w:w="11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₹4,317/qtr</w:t>
            </w:r>
          </w:p>
        </w:tc>
        <w:tc>
          <w:tcPr>
            <w:tcW w:type="dxa" w:w="11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$132/qtr</w:t>
            </w:r>
          </w:p>
        </w:tc>
        <w:tc>
          <w:tcPr>
            <w:tcW w:type="dxa" w:w="11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₹11,067/qtr</w:t>
            </w:r>
          </w:p>
        </w:tc>
      </w:tr>
      <w:tr>
        <w:tc>
          <w:tcPr>
            <w:tcW w:type="dxa" w:w="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Half-yearly</w:t>
            </w:r>
          </w:p>
        </w:tc>
        <w:tc>
          <w:tcPr>
            <w:tcW w:type="dxa" w:w="7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15%</w:t>
            </w:r>
          </w:p>
        </w:tc>
        <w:tc>
          <w:tcPr>
            <w:tcW w:type="dxa" w:w="11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$97/6mo</w:t>
            </w:r>
          </w:p>
        </w:tc>
        <w:tc>
          <w:tcPr>
            <w:tcW w:type="dxa" w:w="11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₹8,154/6mo</w:t>
            </w:r>
          </w:p>
        </w:tc>
        <w:tc>
          <w:tcPr>
            <w:tcW w:type="dxa" w:w="11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$250/6mo</w:t>
            </w:r>
          </w:p>
        </w:tc>
        <w:tc>
          <w:tcPr>
            <w:tcW w:type="dxa" w:w="11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₹20,904/6mo</w:t>
            </w:r>
          </w:p>
        </w:tc>
      </w:tr>
      <w:tr>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Yearly</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20%</w:t>
            </w:r>
          </w:p>
        </w:tc>
        <w:tc>
          <w:tcPr>
            <w:tcW w:type="dxa" w:w="11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$182/yr</w:t>
            </w:r>
          </w:p>
        </w:tc>
        <w:tc>
          <w:tcPr>
            <w:tcW w:type="dxa" w:w="11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₹15,349/yr</w:t>
            </w:r>
          </w:p>
        </w:tc>
        <w:tc>
          <w:tcPr>
            <w:tcW w:type="dxa" w:w="11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$470/yr</w:t>
            </w:r>
          </w:p>
        </w:tc>
        <w:tc>
          <w:tcPr>
            <w:tcW w:type="dxa" w:w="11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₹39,350/yr</w:t>
            </w:r>
          </w:p>
        </w:tc>
      </w:tr>
    </w:tbl>
    <w:p>
      <w:pPr>
        <w:spacing w:after="0" w:before="100"/>
      </w:pPr>
    </w:p>
    <w:p>
      <w:pPr>
        <w:spacing w:after="80" w:before="80"/>
      </w:pPr>
      <w:r>
        <w:rPr>
          <w:rFonts w:ascii="Arial" w:cs="Arial" w:eastAsia="Arial" w:hAnsi="Arial"/>
          <w:sz w:val="22"/>
          <w:szCs w:val="22"/>
        </w:rPr>
        <w:t xml:space="preserve">Razorpay plans for each interval must be created via the API. PowerShell-compatible curl commands were provided since Windows PowerShell does not support single-quoted JSON in curl.exe.</w:t>
      </w:r>
    </w:p>
    <w:p>
      <w:pPr>
        <w:spacing w:after="0" w:before="160"/>
      </w:pPr>
    </w:p>
    <w:p>
      <w:r>
        <w:br w:type="page"/>
      </w:r>
    </w:p>
    <w:p>
      <w:pPr>
        <w:pStyle w:val="Heading1"/>
        <w:pBdr>
          <w:bottom w:val="single" w:color="1E3A5F" w:sz="6" w:space="4"/>
        </w:pBdr>
        <w:spacing w:after="200" w:before="360"/>
      </w:pPr>
      <w:r>
        <w:rPr>
          <w:rFonts w:ascii="Arial" w:cs="Arial" w:eastAsia="Arial" w:hAnsi="Arial"/>
          <w:b/>
          <w:bCs/>
          <w:color w:val="1E3A5F"/>
          <w:sz w:val="36"/>
          <w:szCs w:val="36"/>
        </w:rPr>
        <w:t xml:space="preserve">2.  The Fintech Intent Library</w:t>
      </w:r>
    </w:p>
    <w:p>
      <w:pPr>
        <w:pStyle w:val="Heading2"/>
        <w:spacing w:after="140" w:before="280"/>
      </w:pPr>
      <w:r>
        <w:rPr>
          <w:rFonts w:ascii="Arial" w:cs="Arial" w:eastAsia="Arial" w:hAnsi="Arial"/>
          <w:b/>
          <w:bCs/>
          <w:color w:val="1E3A5F"/>
          <w:sz w:val="28"/>
          <w:szCs w:val="28"/>
        </w:rPr>
        <w:t xml:space="preserve">2.1  What was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EFF6FF" w:val="clear"/>
            <w:tcMar>
              <w:top w:type="dxa" w:w="100"/>
              <w:left w:type="dxa" w:w="200"/>
              <w:bottom w:type="dxa" w:w="100"/>
              <w:right w:type="dxa" w:w="200"/>
            </w:tcMar>
          </w:tcPr>
          <w:p>
            <w:pPr>
              <w:spacing w:after="0" w:before="0"/>
            </w:pPr>
            <w:r>
              <w:rPr>
                <w:rFonts w:ascii="Arial" w:cs="Arial" w:eastAsia="Arial" w:hAnsi="Arial"/>
                <w:b/>
                <w:bCs/>
                <w:color w:val="2563EB"/>
                <w:sz w:val="20"/>
                <w:szCs w:val="20"/>
              </w:rPr>
              <w:t xml:space="preserve">Q  </w:t>
            </w:r>
            <w:r>
              <w:rPr>
                <w:rFonts w:ascii="Arial" w:cs="Arial" w:eastAsia="Arial" w:hAnsi="Arial"/>
                <w:b/>
                <w:bCs/>
                <w:color w:val="1E3A5F"/>
                <w:sz w:val="20"/>
                <w:szCs w:val="20"/>
              </w:rPr>
              <w:t xml:space="preserve">Review and expand the fintech intent library — are there missing intents?</w:t>
            </w:r>
          </w:p>
        </w:tc>
      </w:tr>
    </w:tbl>
    <w:p>
      <w:pPr>
        <w:spacing w:after="0" w:before="80"/>
      </w:pPr>
    </w:p>
    <w:p>
      <w:pPr>
        <w:spacing w:after="80" w:before="80"/>
      </w:pPr>
      <w:r>
        <w:rPr>
          <w:rFonts w:ascii="Arial" w:cs="Arial" w:eastAsia="Arial" w:hAnsi="Arial"/>
          <w:sz w:val="22"/>
          <w:szCs w:val="22"/>
        </w:rPr>
        <w:t xml:space="preserve">The initial library had 170 intents across 11 categories. A full review identified one duplicate (detect_vendor_fraud appearing in both AP_AR and PROCUREMENT), 105 missing intents across existing categories, and 3 entirely missing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tblGrid>
      <w:tr>
        <w:tc>
          <w:tcPr>
            <w:tcW w:type="dxa" w:w="24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12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Original</w:t>
            </w:r>
          </w:p>
        </w:tc>
        <w:tc>
          <w:tcPr>
            <w:tcW w:type="dxa" w:w="12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Added</w:t>
            </w:r>
          </w:p>
        </w:tc>
        <w:tc>
          <w:tcPr>
            <w:tcW w:type="dxa" w:w="12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Final</w:t>
            </w:r>
          </w:p>
        </w:tc>
      </w:tr>
      <w:tr>
        <w:tc>
          <w:tcPr>
            <w:tcW w:type="dxa" w:w="2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PAYMENTS</w:t>
            </w:r>
          </w:p>
        </w:tc>
        <w:tc>
          <w:tcPr>
            <w:tcW w:type="dxa" w:w="1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15</w:t>
            </w:r>
          </w:p>
        </w:tc>
        <w:tc>
          <w:tcPr>
            <w:tcW w:type="dxa" w:w="1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+10</w:t>
            </w:r>
          </w:p>
        </w:tc>
        <w:tc>
          <w:tcPr>
            <w:tcW w:type="dxa" w:w="1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25</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LENDING</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15</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+8</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23</w:t>
            </w:r>
          </w:p>
        </w:tc>
      </w:tr>
      <w:tr>
        <w:tc>
          <w:tcPr>
            <w:tcW w:type="dxa" w:w="2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AP_AR</w:t>
            </w:r>
          </w:p>
        </w:tc>
        <w:tc>
          <w:tcPr>
            <w:tcW w:type="dxa" w:w="1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30 (−1 dup)</w:t>
            </w:r>
          </w:p>
        </w:tc>
        <w:tc>
          <w:tcPr>
            <w:tcW w:type="dxa" w:w="1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0</w:t>
            </w:r>
          </w:p>
        </w:tc>
        <w:tc>
          <w:tcPr>
            <w:tcW w:type="dxa" w:w="1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29</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TREASURY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15</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+5</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20</w:t>
            </w:r>
          </w:p>
        </w:tc>
      </w:tr>
      <w:tr>
        <w:tc>
          <w:tcPr>
            <w:tcW w:type="dxa" w:w="2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FRAUD</w:t>
            </w:r>
          </w:p>
        </w:tc>
        <w:tc>
          <w:tcPr>
            <w:tcW w:type="dxa" w:w="1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15</w:t>
            </w:r>
          </w:p>
        </w:tc>
        <w:tc>
          <w:tcPr>
            <w:tcW w:type="dxa" w:w="1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+6</w:t>
            </w:r>
          </w:p>
        </w:tc>
        <w:tc>
          <w:tcPr>
            <w:tcW w:type="dxa" w:w="1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21</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COMPLIANCE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15</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+7</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22</w:t>
            </w:r>
          </w:p>
        </w:tc>
      </w:tr>
      <w:tr>
        <w:tc>
          <w:tcPr>
            <w:tcW w:type="dxa" w:w="2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PROCUREMENT</w:t>
            </w:r>
          </w:p>
        </w:tc>
        <w:tc>
          <w:tcPr>
            <w:tcW w:type="dxa" w:w="1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15</w:t>
            </w:r>
          </w:p>
        </w:tc>
        <w:tc>
          <w:tcPr>
            <w:tcW w:type="dxa" w:w="1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+4</w:t>
            </w:r>
          </w:p>
        </w:tc>
        <w:tc>
          <w:tcPr>
            <w:tcW w:type="dxa" w:w="1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19</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INVESTMENTS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15</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+6</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21</w:t>
            </w:r>
          </w:p>
        </w:tc>
      </w:tr>
      <w:tr>
        <w:tc>
          <w:tcPr>
            <w:tcW w:type="dxa" w:w="2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CUSTOMER_OPS</w:t>
            </w:r>
          </w:p>
        </w:tc>
        <w:tc>
          <w:tcPr>
            <w:tcW w:type="dxa" w:w="1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15</w:t>
            </w:r>
          </w:p>
        </w:tc>
        <w:tc>
          <w:tcPr>
            <w:tcW w:type="dxa" w:w="1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+6</w:t>
            </w:r>
          </w:p>
        </w:tc>
        <w:tc>
          <w:tcPr>
            <w:tcW w:type="dxa" w:w="1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21</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RECONCILIATION</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10</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+5</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15</w:t>
            </w:r>
          </w:p>
        </w:tc>
      </w:tr>
      <w:tr>
        <w:tc>
          <w:tcPr>
            <w:tcW w:type="dxa" w:w="2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BILLING</w:t>
            </w:r>
          </w:p>
        </w:tc>
        <w:tc>
          <w:tcPr>
            <w:tcW w:type="dxa" w:w="1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10</w:t>
            </w:r>
          </w:p>
        </w:tc>
        <w:tc>
          <w:tcPr>
            <w:tcW w:type="dxa" w:w="1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+8</w:t>
            </w:r>
          </w:p>
        </w:tc>
        <w:tc>
          <w:tcPr>
            <w:tcW w:type="dxa" w:w="1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18</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INSURANCE (new)</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0</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+10</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10</w:t>
            </w:r>
          </w:p>
        </w:tc>
      </w:tr>
      <w:tr>
        <w:tc>
          <w:tcPr>
            <w:tcW w:type="dxa" w:w="2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REPORTING (new)</w:t>
            </w:r>
          </w:p>
        </w:tc>
        <w:tc>
          <w:tcPr>
            <w:tcW w:type="dxa" w:w="1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0</w:t>
            </w:r>
          </w:p>
        </w:tc>
        <w:tc>
          <w:tcPr>
            <w:tcW w:type="dxa" w:w="1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+10</w:t>
            </w:r>
          </w:p>
        </w:tc>
        <w:tc>
          <w:tcPr>
            <w:tcW w:type="dxa" w:w="1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10</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RISK_MANAGEMENT (new)</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0</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+10</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10</w:t>
            </w:r>
          </w:p>
        </w:tc>
      </w:tr>
      <w:tr>
        <w:tc>
          <w:tcPr>
            <w:tcW w:type="dxa" w:w="2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TOTAL</w:t>
            </w:r>
          </w:p>
        </w:tc>
        <w:tc>
          <w:tcPr>
            <w:tcW w:type="dxa" w:w="1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170</w:t>
            </w:r>
          </w:p>
        </w:tc>
        <w:tc>
          <w:tcPr>
            <w:tcW w:type="dxa" w:w="1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+105</w:t>
            </w:r>
          </w:p>
        </w:tc>
        <w:tc>
          <w:tcPr>
            <w:tcW w:type="dxa" w:w="1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264</w:t>
            </w:r>
          </w:p>
        </w:tc>
      </w:tr>
    </w:tbl>
    <w:p>
      <w:pPr>
        <w:spacing w:after="0" w:before="160"/>
      </w:pPr>
    </w:p>
    <w:p>
      <w:pPr>
        <w:pStyle w:val="Heading2"/>
        <w:spacing w:after="140" w:before="280"/>
      </w:pPr>
      <w:r>
        <w:rPr>
          <w:rFonts w:ascii="Arial" w:cs="Arial" w:eastAsia="Arial" w:hAnsi="Arial"/>
          <w:b/>
          <w:bCs/>
          <w:color w:val="1E3A5F"/>
          <w:sz w:val="28"/>
          <w:szCs w:val="28"/>
        </w:rPr>
        <w:t xml:space="preserve">2.2  Backend architecture for the intent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EFF6FF" w:val="clear"/>
            <w:tcMar>
              <w:top w:type="dxa" w:w="100"/>
              <w:left w:type="dxa" w:w="200"/>
              <w:bottom w:type="dxa" w:w="100"/>
              <w:right w:type="dxa" w:w="200"/>
            </w:tcMar>
          </w:tcPr>
          <w:p>
            <w:pPr>
              <w:spacing w:after="0" w:before="0"/>
            </w:pPr>
            <w:r>
              <w:rPr>
                <w:rFonts w:ascii="Arial" w:cs="Arial" w:eastAsia="Arial" w:hAnsi="Arial"/>
                <w:b/>
                <w:bCs/>
                <w:color w:val="2563EB"/>
                <w:sz w:val="20"/>
                <w:szCs w:val="20"/>
              </w:rPr>
              <w:t xml:space="preserve">Q  </w:t>
            </w:r>
            <w:r>
              <w:rPr>
                <w:rFonts w:ascii="Arial" w:cs="Arial" w:eastAsia="Arial" w:hAnsi="Arial"/>
                <w:b/>
                <w:bCs/>
                <w:color w:val="1E3A5F"/>
                <w:sz w:val="20"/>
                <w:szCs w:val="20"/>
              </w:rPr>
              <w:t xml:space="preserve">Review FinTechIntentService, FinTechIntentBootstrap, FintechEntity, and the resource layer</w:t>
            </w:r>
          </w:p>
        </w:tc>
      </w:tr>
    </w:tbl>
    <w:p>
      <w:pPr>
        <w:spacing w:after="0" w:before="80"/>
      </w:pPr>
    </w:p>
    <w:p>
      <w:pPr>
        <w:spacing w:after="80" w:before="80"/>
      </w:pPr>
      <w:r>
        <w:rPr>
          <w:rFonts w:ascii="Arial" w:cs="Arial" w:eastAsia="Arial" w:hAnsi="Arial"/>
          <w:sz w:val="22"/>
          <w:szCs w:val="22"/>
        </w:rPr>
        <w:t xml:space="preserve">The backend is structurally sound but has one critical production bug: FinTechIntentBootstrap has no idempotency check. Every application restart re-inserts all 264 intents. The unique constraint (name, category) prevents duplicates but the errors are swallowed silently via Throwable::printStackTrace. The fix is a check-before-insert using the existing findByNameAndCategory() method.</w:t>
      </w:r>
    </w:p>
    <w:p>
      <w:pPr>
        <w:spacing w:after="80" w:before="80"/>
      </w:pPr>
      <w:r>
        <w:rPr>
          <w:rFonts w:ascii="Arial" w:cs="Arial" w:eastAsia="Arial" w:hAnsi="Arial"/>
          <w:sz w:val="22"/>
          <w:szCs w:val="22"/>
        </w:rPr>
        <w:t xml:space="preserve">The second finding is architectural: everything is named "fintech" — FintechEntity, fintech_intents table, FinTechIntentBootstrap. When the legal tech library is added in month 3-4, this naming makes the multi-vertical architecture difficult. A vertical field on the entity and renaming to IntentLibraryEntity is a one-day refactor that should happen before the first customer goes live, not after.</w:t>
      </w:r>
    </w:p>
    <w:p>
      <w:pPr>
        <w:spacing w:after="0" w:before="160"/>
      </w:pPr>
    </w:p>
    <w:p>
      <w:pPr>
        <w:pStyle w:val="Heading2"/>
        <w:spacing w:after="140" w:before="280"/>
      </w:pPr>
      <w:r>
        <w:rPr>
          <w:rFonts w:ascii="Arial" w:cs="Arial" w:eastAsia="Arial" w:hAnsi="Arial"/>
          <w:b/>
          <w:bCs/>
          <w:color w:val="1E3A5F"/>
          <w:sz w:val="28"/>
          <w:szCs w:val="28"/>
        </w:rPr>
        <w:t xml:space="preserve">2.3  Integrating the intent library into the Playground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EFF6FF" w:val="clear"/>
            <w:tcMar>
              <w:top w:type="dxa" w:w="100"/>
              <w:left w:type="dxa" w:w="200"/>
              <w:bottom w:type="dxa" w:w="100"/>
              <w:right w:type="dxa" w:w="200"/>
            </w:tcMar>
          </w:tcPr>
          <w:p>
            <w:pPr>
              <w:spacing w:after="0" w:before="0"/>
            </w:pPr>
            <w:r>
              <w:rPr>
                <w:rFonts w:ascii="Arial" w:cs="Arial" w:eastAsia="Arial" w:hAnsi="Arial"/>
                <w:b/>
                <w:bCs/>
                <w:color w:val="2563EB"/>
                <w:sz w:val="20"/>
                <w:szCs w:val="20"/>
              </w:rPr>
              <w:t xml:space="preserve">Q  </w:t>
            </w:r>
            <w:r>
              <w:rPr>
                <w:rFonts w:ascii="Arial" w:cs="Arial" w:eastAsia="Arial" w:hAnsi="Arial"/>
                <w:b/>
                <w:bCs/>
                <w:color w:val="1E3A5F"/>
                <w:sz w:val="20"/>
                <w:szCs w:val="20"/>
              </w:rPr>
              <w:t xml:space="preserve">How to integrate FintechIntents component into the Playground for intent discovery?</w:t>
            </w:r>
          </w:p>
        </w:tc>
      </w:tr>
    </w:tbl>
    <w:p>
      <w:pPr>
        <w:spacing w:after="0" w:before="80"/>
      </w:pPr>
    </w:p>
    <w:p>
      <w:pPr>
        <w:spacing w:after="80" w:before="80"/>
      </w:pPr>
      <w:r>
        <w:rPr>
          <w:rFonts w:ascii="Arial" w:cs="Arial" w:eastAsia="Arial" w:hAnsi="Arial"/>
          <w:sz w:val="22"/>
          <w:szCs w:val="22"/>
        </w:rPr>
        <w:t xml:space="preserve">The integration pattern was designed as a collapsible panel above the JSON editor in the Playground. When a user clicks an intent card in the library, handleIntentSelect() pre-fills the JSON editor with a correctly structured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E68A" w:sz="1"/>
              <w:left w:val="single" w:color="FDE68A" w:sz="1"/>
              <w:bottom w:val="single" w:color="FDE68A" w:sz="1"/>
              <w:right w:val="single" w:color="FDE68A" w:sz="1"/>
            </w:tcBorders>
            <w:shd w:fill="FFFBEB" w:val="clear"/>
            <w:tcMar>
              <w:top w:type="dxa" w:w="140"/>
              <w:left w:type="dxa" w:w="200"/>
              <w:bottom w:type="dxa" w:w="140"/>
              <w:right w:type="dxa" w:w="200"/>
            </w:tcMar>
          </w:tcPr>
          <w:p>
            <w:pPr>
              <w:spacing w:after="60" w:before="0"/>
            </w:pPr>
            <w:r>
              <w:rPr>
                <w:rFonts w:ascii="Arial" w:cs="Arial" w:eastAsia="Arial" w:hAnsi="Arial"/>
                <w:b/>
                <w:bCs/>
                <w:color w:val="1E3A5F"/>
                <w:sz w:val="20"/>
                <w:szCs w:val="20"/>
              </w:rPr>
              <w:t xml:space="preserve">Key implementation note:</w:t>
            </w:r>
          </w:p>
          <w:p>
            <w:pPr>
              <w:spacing w:after="80" w:before="80"/>
            </w:pPr>
            <w:r>
              <w:rPr>
                <w:rFonts w:ascii="Arial" w:cs="Arial" w:eastAsia="Arial" w:hAnsi="Arial"/>
                <w:sz w:val="22"/>
                <w:szCs w:val="22"/>
              </w:rPr>
              <w:t xml:space="preserve">Intent.fromRequest() only accepts four fields: intentType, objective, constraints, budget. Any fintech-specific metadata (category, policy, source intent ID) must be embedded inside the objective object — it is the only nested structure that survives deserialization. Top-level fields like category or adapterConfig are silently dropped by @JsonIgnoreProperties(ignoreUnknown = true).</w:t>
            </w:r>
          </w:p>
        </w:tc>
      </w:tr>
    </w:tbl>
    <w:p>
      <w:pPr>
        <w:spacing w:after="0" w:before="160"/>
      </w:pPr>
    </w:p>
    <w:p>
      <w:r>
        <w:br w:type="page"/>
      </w:r>
    </w:p>
    <w:p>
      <w:pPr>
        <w:pStyle w:val="Heading1"/>
        <w:pBdr>
          <w:bottom w:val="single" w:color="1E3A5F" w:sz="6" w:space="4"/>
        </w:pBdr>
        <w:spacing w:after="200" w:before="360"/>
      </w:pPr>
      <w:r>
        <w:rPr>
          <w:rFonts w:ascii="Arial" w:cs="Arial" w:eastAsia="Arial" w:hAnsi="Arial"/>
          <w:b/>
          <w:bCs/>
          <w:color w:val="1E3A5F"/>
          <w:sz w:val="36"/>
          <w:szCs w:val="36"/>
        </w:rPr>
        <w:t xml:space="preserve">3.  Product and Positioning</w:t>
      </w:r>
    </w:p>
    <w:p>
      <w:pPr>
        <w:pStyle w:val="Heading2"/>
        <w:spacing w:after="140" w:before="280"/>
      </w:pPr>
      <w:r>
        <w:rPr>
          <w:rFonts w:ascii="Arial" w:cs="Arial" w:eastAsia="Arial" w:hAnsi="Arial"/>
          <w:b/>
          <w:bCs/>
          <w:color w:val="1E3A5F"/>
          <w:sz w:val="28"/>
          <w:szCs w:val="28"/>
        </w:rPr>
        <w:t xml:space="preserve">3.1  Does Stripe support India?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EFF6FF" w:val="clear"/>
            <w:tcMar>
              <w:top w:type="dxa" w:w="100"/>
              <w:left w:type="dxa" w:w="200"/>
              <w:bottom w:type="dxa" w:w="100"/>
              <w:right w:type="dxa" w:w="200"/>
            </w:tcMar>
          </w:tcPr>
          <w:p>
            <w:pPr>
              <w:spacing w:after="0" w:before="0"/>
            </w:pPr>
            <w:r>
              <w:rPr>
                <w:rFonts w:ascii="Arial" w:cs="Arial" w:eastAsia="Arial" w:hAnsi="Arial"/>
                <w:b/>
                <w:bCs/>
                <w:color w:val="2563EB"/>
                <w:sz w:val="20"/>
                <w:szCs w:val="20"/>
              </w:rPr>
              <w:t xml:space="preserve">Q  </w:t>
            </w:r>
            <w:r>
              <w:rPr>
                <w:rFonts w:ascii="Arial" w:cs="Arial" w:eastAsia="Arial" w:hAnsi="Arial"/>
                <w:b/>
                <w:bCs/>
                <w:color w:val="1E3A5F"/>
                <w:sz w:val="20"/>
                <w:szCs w:val="20"/>
              </w:rPr>
              <w:t xml:space="preserve">Does Stripe support India for payments?</w:t>
            </w:r>
          </w:p>
        </w:tc>
      </w:tr>
    </w:tbl>
    <w:p>
      <w:pPr>
        <w:spacing w:after="0" w:before="80"/>
      </w:pPr>
    </w:p>
    <w:p>
      <w:pPr>
        <w:spacing w:after="80" w:before="80"/>
      </w:pPr>
      <w:r>
        <w:rPr>
          <w:rFonts w:ascii="Arial" w:cs="Arial" w:eastAsia="Arial" w:hAnsi="Arial"/>
          <w:sz w:val="22"/>
          <w:szCs w:val="22"/>
        </w:rPr>
        <w:t xml:space="preserve">Stripe is available in India but by invite only. New businesses cannot sign up through the website — an invite must be requested. Key limitations for Indian businesses:</w:t>
      </w:r>
    </w:p>
    <w:p>
      <w:pPr>
        <w:pStyle w:val="ListParagraph"/>
        <w:numPr>
          <w:ilvl w:val="0"/>
          <w:numId w:val="2"/>
        </w:numPr>
        <w:spacing w:after="60" w:before="60"/>
      </w:pPr>
      <w:r>
        <w:rPr>
          <w:rFonts w:ascii="Arial" w:cs="Arial" w:eastAsia="Arial" w:hAnsi="Arial"/>
          <w:sz w:val="22"/>
          <w:szCs w:val="22"/>
        </w:rPr>
        <w:t xml:space="preserve">Primarily supports card payments (Visa, Mastercard) for international customers</w:t>
      </w:r>
    </w:p>
    <w:p>
      <w:pPr>
        <w:pStyle w:val="ListParagraph"/>
        <w:numPr>
          <w:ilvl w:val="0"/>
          <w:numId w:val="2"/>
        </w:numPr>
        <w:spacing w:after="60" w:before="60"/>
      </w:pPr>
      <w:r>
        <w:rPr>
          <w:rFonts w:ascii="Arial" w:cs="Arial" w:eastAsia="Arial" w:hAnsi="Arial"/>
          <w:sz w:val="22"/>
          <w:szCs w:val="22"/>
        </w:rPr>
        <w:t xml:space="preserve">No UPI, Netbanking, or domestic Indian payment methods</w:t>
      </w:r>
    </w:p>
    <w:p>
      <w:pPr>
        <w:pStyle w:val="ListParagraph"/>
        <w:numPr>
          <w:ilvl w:val="0"/>
          <w:numId w:val="2"/>
        </w:numPr>
        <w:spacing w:after="60" w:before="60"/>
      </w:pPr>
      <w:r>
        <w:rPr>
          <w:rFonts w:ascii="Arial" w:cs="Arial" w:eastAsia="Arial" w:hAnsi="Arial"/>
          <w:sz w:val="22"/>
          <w:szCs w:val="22"/>
        </w:rPr>
        <w:t xml:space="preserve">Subscriptions on India-issued cards require RBI e-mandate registration with 3DS authentication</w:t>
      </w:r>
    </w:p>
    <w:p>
      <w:pPr>
        <w:pStyle w:val="ListParagraph"/>
        <w:numPr>
          <w:ilvl w:val="0"/>
          <w:numId w:val="2"/>
        </w:numPr>
        <w:spacing w:after="60" w:before="60"/>
      </w:pPr>
      <w:r>
        <w:rPr>
          <w:rFonts w:ascii="Arial" w:cs="Arial" w:eastAsia="Arial" w:hAnsi="Arial"/>
          <w:sz w:val="22"/>
          <w:szCs w:val="22"/>
        </w:rPr>
        <w:t xml:space="preserve">Total cost often exceeds 6% after cross-border fees and FX conversion</w:t>
      </w:r>
    </w:p>
    <w:p>
      <w:pPr>
        <w:pStyle w:val="ListParagraph"/>
        <w:numPr>
          <w:ilvl w:val="0"/>
          <w:numId w:val="2"/>
        </w:numPr>
        <w:spacing w:after="60" w:before="60"/>
      </w:pPr>
      <w:r>
        <w:rPr>
          <w:rFonts w:ascii="Arial" w:cs="Arial" w:eastAsia="Arial" w:hAnsi="Arial"/>
          <w:sz w:val="22"/>
          <w:szCs w:val="22"/>
        </w:rPr>
        <w:t xml:space="preserve">Settlement holds and compliance checks are frequent</w:t>
      </w:r>
    </w:p>
    <w:p>
      <w:pPr>
        <w:spacing w:after="80" w:before="80"/>
      </w:pPr>
      <w:r>
        <w:rPr>
          <w:rFonts w:ascii="Arial" w:cs="Arial" w:eastAsia="Arial" w:hAnsi="Arial"/>
          <w:sz w:val="22"/>
          <w:szCs w:val="22"/>
        </w:rPr>
        <w:t xml:space="preserve">The existing dual-gateway architecture — Stripe for international users, Razorpay for India — is the correct solution. The detectGateway() logic in Billing.jsx that auto-routes Indian users (by JWT locale, timezone, email TLD, and browser language) to Razorpay is the right design.</w:t>
      </w:r>
    </w:p>
    <w:p>
      <w:pPr>
        <w:spacing w:after="0" w:before="160"/>
      </w:pPr>
    </w:p>
    <w:p>
      <w:pPr>
        <w:pStyle w:val="Heading2"/>
        <w:spacing w:after="140" w:before="280"/>
      </w:pPr>
      <w:r>
        <w:rPr>
          <w:rFonts w:ascii="Arial" w:cs="Arial" w:eastAsia="Arial" w:hAnsi="Arial"/>
          <w:b/>
          <w:bCs/>
          <w:color w:val="1E3A5F"/>
          <w:sz w:val="28"/>
          <w:szCs w:val="28"/>
        </w:rPr>
        <w:t xml:space="preserve">3.2  Who uses DecisionMesh?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EFF6FF" w:val="clear"/>
            <w:tcMar>
              <w:top w:type="dxa" w:w="100"/>
              <w:left w:type="dxa" w:w="200"/>
              <w:bottom w:type="dxa" w:w="100"/>
              <w:right w:type="dxa" w:w="200"/>
            </w:tcMar>
          </w:tcPr>
          <w:p>
            <w:pPr>
              <w:spacing w:after="0" w:before="0"/>
            </w:pPr>
            <w:r>
              <w:rPr>
                <w:rFonts w:ascii="Arial" w:cs="Arial" w:eastAsia="Arial" w:hAnsi="Arial"/>
                <w:b/>
                <w:bCs/>
                <w:color w:val="2563EB"/>
                <w:sz w:val="20"/>
                <w:szCs w:val="20"/>
              </w:rPr>
              <w:t xml:space="preserve">Q  </w:t>
            </w:r>
            <w:r>
              <w:rPr>
                <w:rFonts w:ascii="Arial" w:cs="Arial" w:eastAsia="Arial" w:hAnsi="Arial"/>
                <w:b/>
                <w:bCs/>
                <w:color w:val="1E3A5F"/>
                <w:sz w:val="20"/>
                <w:szCs w:val="20"/>
              </w:rPr>
              <w:t xml:space="preserve">Who will use DecisionMesh? What are the user personas?</w:t>
            </w:r>
          </w:p>
        </w:tc>
      </w:tr>
    </w:tbl>
    <w:p>
      <w:pPr>
        <w:spacing w:after="0" w:before="80"/>
      </w:pPr>
    </w:p>
    <w:p>
      <w:pPr>
        <w:spacing w:after="80" w:before="80"/>
      </w:pPr>
      <w:r>
        <w:rPr>
          <w:rFonts w:ascii="Arial" w:cs="Arial" w:eastAsia="Arial" w:hAnsi="Arial"/>
          <w:sz w:val="22"/>
          <w:szCs w:val="22"/>
        </w:rPr>
        <w:t xml:space="preserve">Six distinct user types were identified, each with different primary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3860"/>
      </w:tblGrid>
      <w:tr>
        <w:tc>
          <w:tcPr>
            <w:tcW w:type="dxa" w:w="16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Persona</w:t>
            </w:r>
          </w:p>
        </w:tc>
        <w:tc>
          <w:tcPr>
            <w:tcW w:type="dxa" w:w="19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386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Primary job</w:t>
            </w:r>
          </w:p>
        </w:tc>
      </w:tr>
      <w:tr>
        <w:tc>
          <w:tcPr>
            <w:tcW w:type="dxa" w:w="1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Priya Menon</w:t>
            </w:r>
          </w:p>
        </w:tc>
        <w:tc>
          <w:tcPr>
            <w:tcW w:type="dxa" w:w="1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Compliance Officer, NBFC</w:t>
            </w:r>
          </w:p>
        </w:tc>
        <w:tc>
          <w:tcPr>
            <w:tcW w:type="dxa" w:w="38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Audit trail for RBI, KYC governance, regulatory reporting</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Arjun Sharma</w:t>
            </w:r>
          </w:p>
        </w:tc>
        <w:tc>
          <w:tcPr>
            <w:tcW w:type="dxa" w:w="1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ML Engineer, Payments Fintech</w:t>
            </w:r>
          </w:p>
        </w:tc>
        <w:tc>
          <w:tcPr>
            <w:tcW w:type="dxa" w:w="3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Single API across vendors, cost-based routing, drift monitoring</w:t>
            </w:r>
          </w:p>
        </w:tc>
      </w:tr>
      <w:tr>
        <w:tc>
          <w:tcPr>
            <w:tcW w:type="dxa" w:w="1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Lakshmi Nair</w:t>
            </w:r>
          </w:p>
        </w:tc>
        <w:tc>
          <w:tcPr>
            <w:tcW w:type="dxa" w:w="1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VP of Credit, Lending</w:t>
            </w:r>
          </w:p>
        </w:tc>
        <w:tc>
          <w:tcPr>
            <w:tcW w:type="dxa" w:w="38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Drift detection on credit models, human-in-loop gates</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Rajan Pillai</w:t>
            </w:r>
          </w:p>
        </w:tc>
        <w:tc>
          <w:tcPr>
            <w:tcW w:type="dxa" w:w="1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CTO, Series B Fintech</w:t>
            </w:r>
          </w:p>
        </w:tc>
        <w:tc>
          <w:tcPr>
            <w:tcW w:type="dxa" w:w="3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Vendor strategy, cost analytics, governance for the board</w:t>
            </w:r>
          </w:p>
        </w:tc>
      </w:tr>
      <w:tr>
        <w:tc>
          <w:tcPr>
            <w:tcW w:type="dxa" w:w="1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Divya Krishnan</w:t>
            </w:r>
          </w:p>
        </w:tc>
        <w:tc>
          <w:tcPr>
            <w:tcW w:type="dxa" w:w="1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Finance Ops Manager, Bank</w:t>
            </w:r>
          </w:p>
        </w:tc>
        <w:tc>
          <w:tcPr>
            <w:tcW w:type="dxa" w:w="38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AP/AR pipeline automation, credit pack top-ups at quarter-end</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Kiran Reddy</w:t>
            </w:r>
          </w:p>
        </w:tc>
        <w:tc>
          <w:tcPr>
            <w:tcW w:type="dxa" w:w="1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Product Manager, InsurTech</w:t>
            </w:r>
          </w:p>
        </w:tc>
        <w:tc>
          <w:tcPr>
            <w:tcW w:type="dxa" w:w="3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Playground prototyping, insurance intent library, policy constraints</w:t>
            </w:r>
          </w:p>
        </w:tc>
      </w:tr>
    </w:tbl>
    <w:p>
      <w:pPr>
        <w:spacing w:after="0" w:before="100"/>
      </w:pPr>
    </w:p>
    <w:p>
      <w:pPr>
        <w:spacing w:after="80" w:before="80"/>
      </w:pPr>
      <w:r>
        <w:rPr>
          <w:rFonts w:ascii="Arial" w:cs="Arial" w:eastAsia="Arial" w:hAnsi="Arial"/>
          <w:sz w:val="22"/>
          <w:szCs w:val="22"/>
        </w:rPr>
        <w:t xml:space="preserve">The sharpest ICP is a Series B+ Indian fintech (payments, lending, or NBFC) that uses 2+ AI vendors, has a compliance team asking how to audit AI decisions, and is growing fast enough that vendor lock-in is a real concern.</w:t>
      </w:r>
    </w:p>
    <w:p>
      <w:pPr>
        <w:spacing w:after="0" w:before="160"/>
      </w:pPr>
    </w:p>
    <w:p>
      <w:r>
        <w:br w:type="page"/>
      </w:r>
    </w:p>
    <w:p>
      <w:pPr>
        <w:pStyle w:val="Heading1"/>
        <w:pBdr>
          <w:bottom w:val="single" w:color="1E3A5F" w:sz="6" w:space="4"/>
        </w:pBdr>
        <w:spacing w:after="200" w:before="360"/>
      </w:pPr>
      <w:r>
        <w:rPr>
          <w:rFonts w:ascii="Arial" w:cs="Arial" w:eastAsia="Arial" w:hAnsi="Arial"/>
          <w:b/>
          <w:bCs/>
          <w:color w:val="1E3A5F"/>
          <w:sz w:val="36"/>
          <w:szCs w:val="36"/>
        </w:rPr>
        <w:t xml:space="preserve">4.  Investor Deck Review</w:t>
      </w:r>
    </w:p>
    <w:p>
      <w:pPr>
        <w:pStyle w:val="Heading2"/>
        <w:spacing w:after="140" w:before="280"/>
      </w:pPr>
      <w:r>
        <w:rPr>
          <w:rFonts w:ascii="Arial" w:cs="Arial" w:eastAsia="Arial" w:hAnsi="Arial"/>
          <w:b/>
          <w:bCs/>
          <w:color w:val="1E3A5F"/>
          <w:sz w:val="28"/>
          <w:szCs w:val="28"/>
        </w:rPr>
        <w:t xml:space="preserve">4.1  Is the product evolving in the right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EFF6FF" w:val="clear"/>
            <w:tcMar>
              <w:top w:type="dxa" w:w="100"/>
              <w:left w:type="dxa" w:w="200"/>
              <w:bottom w:type="dxa" w:w="100"/>
              <w:right w:type="dxa" w:w="200"/>
            </w:tcMar>
          </w:tcPr>
          <w:p>
            <w:pPr>
              <w:spacing w:after="0" w:before="0"/>
            </w:pPr>
            <w:r>
              <w:rPr>
                <w:rFonts w:ascii="Arial" w:cs="Arial" w:eastAsia="Arial" w:hAnsi="Arial"/>
                <w:b/>
                <w:bCs/>
                <w:color w:val="2563EB"/>
                <w:sz w:val="20"/>
                <w:szCs w:val="20"/>
              </w:rPr>
              <w:t xml:space="preserve">Q  </w:t>
            </w:r>
            <w:r>
              <w:rPr>
                <w:rFonts w:ascii="Arial" w:cs="Arial" w:eastAsia="Arial" w:hAnsi="Arial"/>
                <w:b/>
                <w:bCs/>
                <w:color w:val="1E3A5F"/>
                <w:sz w:val="20"/>
                <w:szCs w:val="20"/>
              </w:rPr>
              <w:t xml:space="preserve">Review the presentation decks — is DecisionMesh evolving in the right direction?</w:t>
            </w:r>
          </w:p>
        </w:tc>
      </w:tr>
    </w:tbl>
    <w:p>
      <w:pPr>
        <w:spacing w:after="0" w:before="80"/>
      </w:pPr>
    </w:p>
    <w:p>
      <w:pPr>
        <w:spacing w:after="80" w:before="80"/>
      </w:pPr>
      <w:r>
        <w:rPr>
          <w:rFonts w:ascii="Arial" w:cs="Arial" w:eastAsia="Arial" w:hAnsi="Arial"/>
          <w:sz w:val="22"/>
          <w:szCs w:val="22"/>
        </w:rPr>
        <w:t xml:space="preserve">Yes, with important caveats. The VC deck is a meaningful improvement over the Tier1 Final deck. The "Like Kubernetes — but for decisions" analogy is strong — investors immediately understand the orchestration layer pattern. The Demo Story slide addition is the most important change.</w:t>
      </w:r>
    </w:p>
    <w:p>
      <w:pPr>
        <w:spacing w:after="80" w:before="80"/>
      </w:pPr>
      <w:r>
        <w:rPr>
          <w:rFonts w:ascii="Arial" w:cs="Arial" w:eastAsia="Arial" w:hAnsi="Arial"/>
          <w:sz w:val="22"/>
          <w:szCs w:val="22"/>
        </w:rPr>
        <w:t xml:space="preserve">The product reality is ahead of the deck. The billing infrastructure, fintech domain library, reactive execution engine, and multi-gateway payment system are genuinely substantial. Four specific gaps were identified:</w:t>
      </w:r>
    </w:p>
    <w:p>
      <w:pPr>
        <w:pStyle w:val="ListParagraph"/>
        <w:numPr>
          <w:ilvl w:val="0"/>
          <w:numId w:val="2"/>
        </w:numPr>
        <w:spacing w:after="60" w:before="60"/>
      </w:pPr>
      <w:r>
        <w:rPr>
          <w:rFonts w:ascii="Arial" w:cs="Arial" w:eastAsia="Arial" w:hAnsi="Arial"/>
          <w:sz w:val="22"/>
          <w:szCs w:val="22"/>
        </w:rPr>
        <w:t xml:space="preserve">No team slide — every VC deck needs one, it is not optional</w:t>
      </w:r>
    </w:p>
    <w:p>
      <w:pPr>
        <w:pStyle w:val="ListParagraph"/>
        <w:numPr>
          <w:ilvl w:val="0"/>
          <w:numId w:val="2"/>
        </w:numPr>
        <w:spacing w:after="60" w:before="60"/>
      </w:pPr>
      <w:r>
        <w:rPr>
          <w:rFonts w:ascii="Arial" w:cs="Arial" w:eastAsia="Arial" w:hAnsi="Arial"/>
          <w:sz w:val="22"/>
          <w:szCs w:val="22"/>
        </w:rPr>
        <w:t xml:space="preserve">"Learns from every decision" is overclaimed — drift scores are captured but the self-learning loop is not automated yet</w:t>
      </w:r>
    </w:p>
    <w:p>
      <w:pPr>
        <w:pStyle w:val="ListParagraph"/>
        <w:numPr>
          <w:ilvl w:val="0"/>
          <w:numId w:val="2"/>
        </w:numPr>
        <w:spacing w:after="60" w:before="60"/>
      </w:pPr>
      <w:r>
        <w:rPr>
          <w:rFonts w:ascii="Arial" w:cs="Arial" w:eastAsia="Arial" w:hAnsi="Arial"/>
          <w:sz w:val="22"/>
          <w:szCs w:val="22"/>
        </w:rPr>
        <w:t xml:space="preserve">The moat slide is abstract — naming the moat is not the same as explaining why it is hard to replicate</w:t>
      </w:r>
    </w:p>
    <w:p>
      <w:pPr>
        <w:pStyle w:val="ListParagraph"/>
        <w:numPr>
          <w:ilvl w:val="0"/>
          <w:numId w:val="2"/>
        </w:numPr>
        <w:spacing w:after="60" w:before="60"/>
      </w:pPr>
      <w:r>
        <w:rPr>
          <w:rFonts w:ascii="Arial" w:cs="Arial" w:eastAsia="Arial" w:hAnsi="Arial"/>
          <w:sz w:val="22"/>
          <w:szCs w:val="22"/>
        </w:rPr>
        <w:t xml:space="preserve">The fintech intent library — the single most defensible differentiator — was not in the deck at all</w:t>
      </w:r>
    </w:p>
    <w:p>
      <w:pPr>
        <w:spacing w:after="0" w:before="160"/>
      </w:pPr>
    </w:p>
    <w:p>
      <w:pPr>
        <w:pStyle w:val="Heading2"/>
        <w:spacing w:after="140" w:before="280"/>
      </w:pPr>
      <w:r>
        <w:rPr>
          <w:rFonts w:ascii="Arial" w:cs="Arial" w:eastAsia="Arial" w:hAnsi="Arial"/>
          <w:b/>
          <w:bCs/>
          <w:color w:val="1E3A5F"/>
          <w:sz w:val="28"/>
          <w:szCs w:val="28"/>
        </w:rPr>
        <w:t xml:space="preserve">4.2  Website vs code — are they aligned?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EFF6FF" w:val="clear"/>
            <w:tcMar>
              <w:top w:type="dxa" w:w="100"/>
              <w:left w:type="dxa" w:w="200"/>
              <w:bottom w:type="dxa" w:w="100"/>
              <w:right w:type="dxa" w:w="200"/>
            </w:tcMar>
          </w:tcPr>
          <w:p>
            <w:pPr>
              <w:spacing w:after="0" w:before="0"/>
            </w:pPr>
            <w:r>
              <w:rPr>
                <w:rFonts w:ascii="Arial" w:cs="Arial" w:eastAsia="Arial" w:hAnsi="Arial"/>
                <w:b/>
                <w:bCs/>
                <w:color w:val="2563EB"/>
                <w:sz w:val="20"/>
                <w:szCs w:val="20"/>
              </w:rPr>
              <w:t xml:space="preserve">Q  </w:t>
            </w:r>
            <w:r>
              <w:rPr>
                <w:rFonts w:ascii="Arial" w:cs="Arial" w:eastAsia="Arial" w:hAnsi="Arial"/>
                <w:b/>
                <w:bCs/>
                <w:color w:val="1E3A5F"/>
                <w:sz w:val="20"/>
                <w:szCs w:val="20"/>
              </w:rPr>
              <w:t xml:space="preserve">Is the website content aligned with what has been built? Is the product too fintech-specific or too generic?</w:t>
            </w:r>
          </w:p>
        </w:tc>
      </w:tr>
    </w:tbl>
    <w:p>
      <w:pPr>
        <w:spacing w:after="0" w:before="80"/>
      </w:pPr>
    </w:p>
    <w:p>
      <w:pPr>
        <w:spacing w:after="80" w:before="80"/>
      </w:pPr>
      <w:r>
        <w:rPr>
          <w:rFonts w:ascii="Arial" w:cs="Arial" w:eastAsia="Arial" w:hAnsi="Arial"/>
          <w:sz w:val="22"/>
          <w:szCs w:val="22"/>
        </w:rPr>
        <w:t xml:space="preserve">There is a real and unresolved tension. The website pitches a horizontal platform for financial services, healthcare, enterprise SaaS, and insurance. The code is built specifically for fintech — 264 fintech intents, Razorpay integration, UPI/RBI terminology, Indian locale detection. These are two different go-to-market strategies running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CACA" w:sz="1"/>
              <w:left w:val="single" w:color="FECACA" w:sz="1"/>
              <w:bottom w:val="single" w:color="FECACA" w:sz="1"/>
              <w:right w:val="single" w:color="FECACA" w:sz="1"/>
            </w:tcBorders>
            <w:shd w:fill="FEF2F2" w:val="clear"/>
            <w:tcMar>
              <w:top w:type="dxa" w:w="140"/>
              <w:left w:type="dxa" w:w="200"/>
              <w:bottom w:type="dxa" w:w="140"/>
              <w:right w:type="dxa" w:w="200"/>
            </w:tcMar>
          </w:tcPr>
          <w:p>
            <w:pPr>
              <w:spacing w:after="80" w:before="0"/>
            </w:pPr>
            <w:r>
              <w:rPr>
                <w:rFonts w:ascii="Arial" w:cs="Arial" w:eastAsia="Arial" w:hAnsi="Arial"/>
                <w:b/>
                <w:bCs/>
                <w:color w:val="1E3A5F"/>
                <w:sz w:val="22"/>
                <w:szCs w:val="22"/>
              </w:rPr>
              <w:t xml:space="preserve">Recommendation</w:t>
            </w:r>
          </w:p>
          <w:p>
            <w:pPr>
              <w:spacing w:after="80" w:before="80"/>
            </w:pPr>
            <w:r>
              <w:rPr>
                <w:rFonts w:ascii="Arial" w:cs="Arial" w:eastAsia="Arial" w:hAnsi="Arial"/>
                <w:sz w:val="22"/>
                <w:szCs w:val="22"/>
              </w:rPr>
              <w:t xml:space="preserve">Keep the code fintech-specific. Update the website to match. The 264 fintech intents are the single most defensible differentiator. No horizontal player has domain depth at this level. The moment the pitch becomes generic AI governance for everyone, the product sounds like every other compliance tool. The website hero should lead with the fintech intent library, not with abstract governance claims.</w:t>
            </w:r>
          </w:p>
          <w:p>
            <w:pPr>
              <w:spacing w:after="80" w:before="80"/>
            </w:pPr>
            <w:r>
              <w:rPr>
                <w:rFonts w:ascii="Arial" w:cs="Arial" w:eastAsia="Arial" w:hAnsi="Arial"/>
                <w:sz w:val="22"/>
                <w:szCs w:val="22"/>
              </w:rPr>
              <w:t xml:space="preserve">Specific changes needed: remove HIPAA/FDA/healthcare claims (no healthcare intents exist yet), add India-specific section (RBI, Razorpay, UPI, DPDP Act), replace the generic 6-stage flow diagram with a real fintech example.</w:t>
            </w:r>
          </w:p>
        </w:tc>
      </w:tr>
    </w:tbl>
    <w:p>
      <w:pPr>
        <w:spacing w:after="0" w:before="160"/>
      </w:pPr>
    </w:p>
    <w:p>
      <w:r>
        <w:br w:type="page"/>
      </w:r>
    </w:p>
    <w:p>
      <w:pPr>
        <w:pStyle w:val="Heading1"/>
        <w:pBdr>
          <w:bottom w:val="single" w:color="1E3A5F" w:sz="6" w:space="4"/>
        </w:pBdr>
        <w:spacing w:after="200" w:before="360"/>
      </w:pPr>
      <w:r>
        <w:rPr>
          <w:rFonts w:ascii="Arial" w:cs="Arial" w:eastAsia="Arial" w:hAnsi="Arial"/>
          <w:b/>
          <w:bCs/>
          <w:color w:val="1E3A5F"/>
          <w:sz w:val="36"/>
          <w:szCs w:val="36"/>
        </w:rPr>
        <w:t xml:space="preserve">5.  Go-To-Market Strategy</w:t>
      </w:r>
    </w:p>
    <w:p>
      <w:pPr>
        <w:pStyle w:val="Heading2"/>
        <w:spacing w:after="140" w:before="280"/>
      </w:pPr>
      <w:r>
        <w:rPr>
          <w:rFonts w:ascii="Arial" w:cs="Arial" w:eastAsia="Arial" w:hAnsi="Arial"/>
          <w:b/>
          <w:bCs/>
          <w:color w:val="1E3A5F"/>
          <w:sz w:val="28"/>
          <w:szCs w:val="28"/>
        </w:rPr>
        <w:t xml:space="preserve">5.1  Fintech vertical vs horizontal platform — what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EFF6FF" w:val="clear"/>
            <w:tcMar>
              <w:top w:type="dxa" w:w="100"/>
              <w:left w:type="dxa" w:w="200"/>
              <w:bottom w:type="dxa" w:w="100"/>
              <w:right w:type="dxa" w:w="200"/>
            </w:tcMar>
          </w:tcPr>
          <w:p>
            <w:pPr>
              <w:spacing w:after="0" w:before="0"/>
            </w:pPr>
            <w:r>
              <w:rPr>
                <w:rFonts w:ascii="Arial" w:cs="Arial" w:eastAsia="Arial" w:hAnsi="Arial"/>
                <w:b/>
                <w:bCs/>
                <w:color w:val="2563EB"/>
                <w:sz w:val="20"/>
                <w:szCs w:val="20"/>
              </w:rPr>
              <w:t xml:space="preserve">Q  </w:t>
            </w:r>
            <w:r>
              <w:rPr>
                <w:rFonts w:ascii="Arial" w:cs="Arial" w:eastAsia="Arial" w:hAnsi="Arial"/>
                <w:b/>
                <w:bCs/>
                <w:color w:val="1E3A5F"/>
                <w:sz w:val="20"/>
                <w:szCs w:val="20"/>
              </w:rPr>
              <w:t xml:space="preserve">What wins in the coming days — fintech vertical or general horizontal platform?</w:t>
            </w:r>
          </w:p>
        </w:tc>
      </w:tr>
    </w:tbl>
    <w:p>
      <w:pPr>
        <w:spacing w:after="0" w:before="80"/>
      </w:pPr>
    </w:p>
    <w:p>
      <w:pPr>
        <w:spacing w:after="80" w:before="80"/>
      </w:pPr>
      <w:r>
        <w:rPr>
          <w:rFonts w:ascii="Arial" w:cs="Arial" w:eastAsia="Arial" w:hAnsi="Arial"/>
          <w:sz w:val="22"/>
          <w:szCs w:val="22"/>
        </w:rPr>
        <w:t xml:space="preserve">Fintech vertical wins for the next 18 months. The horizontal platform is the 3-year story.</w:t>
      </w:r>
    </w:p>
    <w:p>
      <w:pPr>
        <w:spacing w:after="80" w:before="80"/>
      </w:pPr>
      <w:r>
        <w:rPr>
          <w:rFonts w:ascii="Arial" w:cs="Arial" w:eastAsia="Arial" w:hAnsi="Arial"/>
          <w:sz w:val="22"/>
          <w:szCs w:val="22"/>
        </w:rPr>
        <w:t xml:space="preserve">Three reasons the horizontal platform loses right now:</w:t>
      </w:r>
    </w:p>
    <w:p>
      <w:pPr>
        <w:pStyle w:val="ListParagraph"/>
        <w:numPr>
          <w:ilvl w:val="0"/>
          <w:numId w:val="2"/>
        </w:numPr>
        <w:spacing w:after="60" w:before="60"/>
      </w:pPr>
      <w:r>
        <w:rPr>
          <w:rFonts w:ascii="Arial" w:cs="Arial" w:eastAsia="Arial" w:hAnsi="Arial"/>
          <w:sz w:val="22"/>
          <w:szCs w:val="22"/>
        </w:rPr>
        <w:t xml:space="preserve">The horizontal graveyard is real. Every "AI governance for everything" company that raised in 2023-2024 is either pivoting or getting outcompeted by Microsoft and AWS who bundle governance into existing cloud contracts.</w:t>
      </w:r>
    </w:p>
    <w:p>
      <w:pPr>
        <w:pStyle w:val="ListParagraph"/>
        <w:numPr>
          <w:ilvl w:val="0"/>
          <w:numId w:val="2"/>
        </w:numPr>
        <w:spacing w:after="60" w:before="60"/>
      </w:pPr>
      <w:r>
        <w:rPr>
          <w:rFonts w:ascii="Arial" w:cs="Arial" w:eastAsia="Arial" w:hAnsi="Arial"/>
          <w:sz w:val="22"/>
          <w:szCs w:val="22"/>
        </w:rPr>
        <w:t xml:space="preserve">Fintech buyers have budget and urgency today. An NBFC compliance officer with an RBI audit in 6 weeks pays immediately. An enterprise IT buyer evaluating AI governance strategy is in a 12-month procurement cycle.</w:t>
      </w:r>
    </w:p>
    <w:p>
      <w:pPr>
        <w:pStyle w:val="ListParagraph"/>
        <w:numPr>
          <w:ilvl w:val="0"/>
          <w:numId w:val="2"/>
        </w:numPr>
        <w:spacing w:after="60" w:before="60"/>
      </w:pPr>
      <w:r>
        <w:rPr>
          <w:rFonts w:ascii="Arial" w:cs="Arial" w:eastAsia="Arial" w:hAnsi="Arial"/>
          <w:sz w:val="22"/>
          <w:szCs w:val="22"/>
        </w:rPr>
        <w:t xml:space="preserve">The 264 fintech intents are a closing argument, not a feature. A horizontal platform shows a generic policy engine and asks buyers to imagine the rest.</w:t>
      </w:r>
    </w:p>
    <w:p>
      <w:pPr>
        <w:spacing w:after="0" w:before="100"/>
      </w:pPr>
    </w:p>
    <w:p>
      <w:pPr>
        <w:spacing w:after="80" w:before="80"/>
      </w:pPr>
      <w:r>
        <w:rPr>
          <w:rFonts w:ascii="Arial" w:cs="Arial" w:eastAsia="Arial" w:hAnsi="Arial"/>
          <w:sz w:val="22"/>
          <w:szCs w:val="22"/>
        </w:rPr>
        <w:t xml:space="preserve">The moment to go horizontal is in 18-24 months, when 10-15 paying fintech customers create the case studies, decision history data, and revenue that de-risks expansion into new verticals.</w:t>
      </w:r>
    </w:p>
    <w:p>
      <w:pPr>
        <w:spacing w:after="0" w:before="160"/>
      </w:pPr>
    </w:p>
    <w:p>
      <w:pPr>
        <w:pStyle w:val="Heading2"/>
        <w:spacing w:after="140" w:before="280"/>
      </w:pPr>
      <w:r>
        <w:rPr>
          <w:rFonts w:ascii="Arial" w:cs="Arial" w:eastAsia="Arial" w:hAnsi="Arial"/>
          <w:b/>
          <w:bCs/>
          <w:color w:val="1E3A5F"/>
          <w:sz w:val="28"/>
          <w:szCs w:val="28"/>
        </w:rPr>
        <w:t xml:space="preserve">5.2  Adding healthcare, legal, and government — how long?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EFF6FF" w:val="clear"/>
            <w:tcMar>
              <w:top w:type="dxa" w:w="100"/>
              <w:left w:type="dxa" w:w="200"/>
              <w:bottom w:type="dxa" w:w="100"/>
              <w:right w:type="dxa" w:w="200"/>
            </w:tcMar>
          </w:tcPr>
          <w:p>
            <w:pPr>
              <w:spacing w:after="0" w:before="0"/>
            </w:pPr>
            <w:r>
              <w:rPr>
                <w:rFonts w:ascii="Arial" w:cs="Arial" w:eastAsia="Arial" w:hAnsi="Arial"/>
                <w:b/>
                <w:bCs/>
                <w:color w:val="2563EB"/>
                <w:sz w:val="20"/>
                <w:szCs w:val="20"/>
              </w:rPr>
              <w:t xml:space="preserve">Q  </w:t>
            </w:r>
            <w:r>
              <w:rPr>
                <w:rFonts w:ascii="Arial" w:cs="Arial" w:eastAsia="Arial" w:hAnsi="Arial"/>
                <w:b/>
                <w:bCs/>
                <w:color w:val="1E3A5F"/>
                <w:sz w:val="20"/>
                <w:szCs w:val="20"/>
              </w:rPr>
              <w:t xml:space="preserve">What if healthcare, legal tech, and government benefits eligibility are added alongside fintech? How long to build all four?</w:t>
            </w:r>
          </w:p>
        </w:tc>
      </w:tr>
    </w:tbl>
    <w:p>
      <w:pPr>
        <w:spacing w:after="0" w:before="80"/>
      </w:pPr>
    </w:p>
    <w:p>
      <w:pPr>
        <w:spacing w:after="80" w:before="80"/>
      </w:pPr>
      <w:r>
        <w:rPr>
          <w:rFonts w:ascii="Arial" w:cs="Arial" w:eastAsia="Arial" w:hAnsi="Arial"/>
          <w:sz w:val="22"/>
          <w:szCs w:val="22"/>
        </w:rPr>
        <w:t xml:space="preserve">The governance engine is the same across all verticals — only the intent library changes. Realistic estimates with LLM-assisted code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300"/>
        <w:gridCol w:w="3360"/>
      </w:tblGrid>
      <w:tr>
        <w:tc>
          <w:tcPr>
            <w:tcW w:type="dxa" w:w="18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Vertical</w:t>
            </w:r>
          </w:p>
        </w:tc>
        <w:tc>
          <w:tcPr>
            <w:tcW w:type="dxa" w:w="9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Intents</w:t>
            </w:r>
          </w:p>
        </w:tc>
        <w:tc>
          <w:tcPr>
            <w:tcW w:type="dxa" w:w="13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Build time</w:t>
            </w:r>
          </w:p>
        </w:tc>
        <w:tc>
          <w:tcPr>
            <w:tcW w:type="dxa" w:w="336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Hardest part</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Fintech</w:t>
            </w:r>
          </w:p>
        </w:tc>
        <w:tc>
          <w:tcPr>
            <w:tcW w:type="dxa" w:w="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264</w:t>
            </w:r>
          </w:p>
        </w:tc>
        <w:tc>
          <w:tcPr>
            <w:tcW w:type="dxa" w:w="13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Done</w:t>
            </w:r>
          </w:p>
        </w:tc>
        <w:tc>
          <w:tcPr>
            <w:tcW w:type="dxa" w:w="33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Already built</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Legal Tech</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~170</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4-6 weeks</w:t>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Indian legal primitives (NCLT, GST, RERA)</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Government</w:t>
            </w:r>
          </w:p>
        </w:tc>
        <w:tc>
          <w:tcPr>
            <w:tcW w:type="dxa" w:w="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~175</w:t>
            </w:r>
          </w:p>
        </w:tc>
        <w:tc>
          <w:tcPr>
            <w:tcW w:type="dxa" w:w="13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6-8 weeks</w:t>
            </w:r>
          </w:p>
        </w:tc>
        <w:tc>
          <w:tcPr>
            <w:tcW w:type="dxa" w:w="33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Aadhaar/DigiLocker specificity</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Healthcare</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~200</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8-12 weeks</w:t>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Clinical terminology — wrong name creates liability</w:t>
            </w:r>
          </w:p>
        </w:tc>
      </w:tr>
    </w:tbl>
    <w:p>
      <w:pPr>
        <w:spacing w:after="0" w:before="100"/>
      </w:pPr>
    </w:p>
    <w:p>
      <w:pPr>
        <w:spacing w:after="80" w:before="80"/>
      </w:pPr>
      <w:r>
        <w:rPr>
          <w:rFonts w:ascii="Arial" w:cs="Arial" w:eastAsia="Arial" w:hAnsi="Arial"/>
          <w:sz w:val="22"/>
          <w:szCs w:val="22"/>
        </w:rPr>
        <w:t xml:space="preserve">Total time to build all four: approximately 6 months. However, building all four in parallel means 6 months of library construction with no paying customers. The recommended approach is sequential: close fintech customers first, use their feedback to harden the platform, then add verticals one at a time.</w:t>
      </w:r>
    </w:p>
    <w:p>
      <w:pPr>
        <w:spacing w:after="0" w:before="160"/>
      </w:pPr>
    </w:p>
    <w:p>
      <w:r>
        <w:br w:type="page"/>
      </w:r>
    </w:p>
    <w:p>
      <w:pPr>
        <w:pStyle w:val="Heading1"/>
        <w:pBdr>
          <w:bottom w:val="single" w:color="1E3A5F" w:sz="6" w:space="4"/>
        </w:pBdr>
        <w:spacing w:after="200" w:before="360"/>
      </w:pPr>
      <w:r>
        <w:rPr>
          <w:rFonts w:ascii="Arial" w:cs="Arial" w:eastAsia="Arial" w:hAnsi="Arial"/>
          <w:b/>
          <w:bCs/>
          <w:color w:val="1E3A5F"/>
          <w:sz w:val="36"/>
          <w:szCs w:val="36"/>
        </w:rPr>
        <w:t xml:space="preserve">6.  Vertical Expansion Roadmap</w:t>
      </w:r>
    </w:p>
    <w:p>
      <w:pPr>
        <w:pStyle w:val="Heading2"/>
        <w:spacing w:after="140" w:before="280"/>
      </w:pPr>
      <w:r>
        <w:rPr>
          <w:rFonts w:ascii="Arial" w:cs="Arial" w:eastAsia="Arial" w:hAnsi="Arial"/>
          <w:b/>
          <w:bCs/>
          <w:color w:val="1E3A5F"/>
          <w:sz w:val="28"/>
          <w:szCs w:val="28"/>
        </w:rPr>
        <w:t xml:space="preserve">6.1  Full vertical sequence with selling priority and build difficulty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EFF6FF" w:val="clear"/>
            <w:tcMar>
              <w:top w:type="dxa" w:w="100"/>
              <w:left w:type="dxa" w:w="200"/>
              <w:bottom w:type="dxa" w:w="100"/>
              <w:right w:type="dxa" w:w="200"/>
            </w:tcMar>
          </w:tcPr>
          <w:p>
            <w:pPr>
              <w:spacing w:after="0" w:before="0"/>
            </w:pPr>
            <w:r>
              <w:rPr>
                <w:rFonts w:ascii="Arial" w:cs="Arial" w:eastAsia="Arial" w:hAnsi="Arial"/>
                <w:b/>
                <w:bCs/>
                <w:color w:val="2563EB"/>
                <w:sz w:val="20"/>
                <w:szCs w:val="20"/>
              </w:rPr>
              <w:t xml:space="preserve">Q  </w:t>
            </w:r>
            <w:r>
              <w:rPr>
                <w:rFonts w:ascii="Arial" w:cs="Arial" w:eastAsia="Arial" w:hAnsi="Arial"/>
                <w:b/>
                <w:bCs/>
                <w:color w:val="1E3A5F"/>
                <w:sz w:val="20"/>
                <w:szCs w:val="20"/>
              </w:rPr>
              <w:t xml:space="preserve">What is the full sequence of domains, their selling priority, and build difficulty with LLM code generation?</w:t>
            </w:r>
          </w:p>
        </w:tc>
      </w:tr>
    </w:tbl>
    <w:p>
      <w:pPr>
        <w:spacing w:after="0" w:before="80"/>
      </w:pPr>
    </w:p>
    <w:p>
      <w:pPr>
        <w:spacing w:after="80" w:before="80"/>
      </w:pPr>
      <w:r>
        <w:rPr>
          <w:rFonts w:ascii="Arial" w:cs="Arial" w:eastAsia="Arial" w:hAnsi="Arial"/>
          <w:sz w:val="22"/>
          <w:szCs w:val="22"/>
        </w:rPr>
        <w:t xml:space="preserve">Sixteen verticals were ranked on two axes: selling priority (regulatory urgency, buyer budget, sales cycle, India market size) and LLM build difficulty (precision required, public training data available, risk of wrong terminology).</w:t>
      </w:r>
    </w:p>
    <w:p>
      <w:pPr>
        <w:pStyle w:val="Heading3"/>
        <w:spacing w:after="100" w:before="200"/>
      </w:pPr>
      <w:r>
        <w:rPr>
          <w:rFonts w:ascii="Arial" w:cs="Arial" w:eastAsia="Arial" w:hAnsi="Arial"/>
          <w:b/>
          <w:bCs/>
          <w:color w:val="2563EB"/>
          <w:sz w:val="24"/>
          <w:szCs w:val="24"/>
        </w:rPr>
        <w:t xml:space="preserve">Wave 1 — Ship now (Months 1-3)</w:t>
      </w:r>
    </w:p>
    <w:p>
      <w:pPr>
        <w:pStyle w:val="ListParagraph"/>
        <w:numPr>
          <w:ilvl w:val="0"/>
          <w:numId w:val="2"/>
        </w:numPr>
        <w:spacing w:after="60" w:before="60"/>
      </w:pPr>
      <w:r>
        <w:rPr>
          <w:rFonts w:ascii="Arial" w:cs="Arial" w:eastAsia="Arial" w:hAnsi="Arial"/>
          <w:sz w:val="22"/>
          <w:szCs w:val="22"/>
        </w:rPr>
        <w:t xml:space="preserve">Fintech: Done. RBI urgency. Largest public training corpus. India-specific moat.</w:t>
      </w:r>
    </w:p>
    <w:p>
      <w:pPr>
        <w:pStyle w:val="ListParagraph"/>
        <w:numPr>
          <w:ilvl w:val="0"/>
          <w:numId w:val="2"/>
        </w:numPr>
        <w:spacing w:after="60" w:before="60"/>
      </w:pPr>
      <w:r>
        <w:rPr>
          <w:rFonts w:ascii="Arial" w:cs="Arial" w:eastAsia="Arial" w:hAnsi="Arial"/>
          <w:sz w:val="22"/>
          <w:szCs w:val="22"/>
        </w:rPr>
        <w:t xml:space="preserve">Legal Tech: Easy to build. Same buyer network as fintech. NCLT/GST/RERA primitives make it India-specific. 3-4 days to build with LLM.</w:t>
      </w:r>
    </w:p>
    <w:p>
      <w:pPr>
        <w:pStyle w:val="Heading3"/>
        <w:spacing w:after="100" w:before="200"/>
      </w:pPr>
      <w:r>
        <w:rPr>
          <w:rFonts w:ascii="Arial" w:cs="Arial" w:eastAsia="Arial" w:hAnsi="Arial"/>
          <w:b/>
          <w:bCs/>
          <w:color w:val="2563EB"/>
          <w:sz w:val="24"/>
          <w:szCs w:val="24"/>
        </w:rPr>
        <w:t xml:space="preserve">Wave 2 — Build during first sales (Months 3-5)</w:t>
      </w:r>
    </w:p>
    <w:p>
      <w:pPr>
        <w:pStyle w:val="ListParagraph"/>
        <w:numPr>
          <w:ilvl w:val="0"/>
          <w:numId w:val="2"/>
        </w:numPr>
        <w:spacing w:after="60" w:before="60"/>
      </w:pPr>
      <w:r>
        <w:rPr>
          <w:rFonts w:ascii="Arial" w:cs="Arial" w:eastAsia="Arial" w:hAnsi="Arial"/>
          <w:sz w:val="22"/>
          <w:szCs w:val="22"/>
        </w:rPr>
        <w:t xml:space="preserve">HR and Workforce: Sleeper hit. Every fintech has an HR team. Cross-sell within existing accounts. LLM knows this domain deeply.</w:t>
      </w:r>
    </w:p>
    <w:p>
      <w:pPr>
        <w:pStyle w:val="ListParagraph"/>
        <w:numPr>
          <w:ilvl w:val="0"/>
          <w:numId w:val="2"/>
        </w:numPr>
        <w:spacing w:after="60" w:before="60"/>
      </w:pPr>
      <w:r>
        <w:rPr>
          <w:rFonts w:ascii="Arial" w:cs="Arial" w:eastAsia="Arial" w:hAnsi="Arial"/>
          <w:sz w:val="22"/>
          <w:szCs w:val="22"/>
        </w:rPr>
        <w:t xml:space="preserve">Procurement: Partially built in fintech library already. GEM portal compliance is India-specific urgency.</w:t>
      </w:r>
    </w:p>
    <w:p>
      <w:pPr>
        <w:pStyle w:val="ListParagraph"/>
        <w:numPr>
          <w:ilvl w:val="0"/>
          <w:numId w:val="2"/>
        </w:numPr>
        <w:spacing w:after="60" w:before="60"/>
      </w:pPr>
      <w:r>
        <w:rPr>
          <w:rFonts w:ascii="Arial" w:cs="Arial" w:eastAsia="Arial" w:hAnsi="Arial"/>
          <w:sz w:val="22"/>
          <w:szCs w:val="22"/>
        </w:rPr>
        <w:t xml:space="preserve">Government / GovTech: DPDP Act 2023 creates urgency. Needs 1-week research on Aadhaar, DigiLocker, PM-KISAN before prompting.</w:t>
      </w:r>
    </w:p>
    <w:p>
      <w:pPr>
        <w:pStyle w:val="Heading3"/>
        <w:spacing w:after="100" w:before="200"/>
      </w:pPr>
      <w:r>
        <w:rPr>
          <w:rFonts w:ascii="Arial" w:cs="Arial" w:eastAsia="Arial" w:hAnsi="Arial"/>
          <w:b/>
          <w:bCs/>
          <w:color w:val="2563EB"/>
          <w:sz w:val="24"/>
          <w:szCs w:val="24"/>
        </w:rPr>
        <w:t xml:space="preserve">Wave 3 — Months 5-8</w:t>
      </w:r>
    </w:p>
    <w:p>
      <w:pPr>
        <w:pStyle w:val="ListParagraph"/>
        <w:numPr>
          <w:ilvl w:val="0"/>
          <w:numId w:val="2"/>
        </w:numPr>
        <w:spacing w:after="60" w:before="60"/>
      </w:pPr>
      <w:r>
        <w:rPr>
          <w:rFonts w:ascii="Arial" w:cs="Arial" w:eastAsia="Arial" w:hAnsi="Arial"/>
          <w:sz w:val="22"/>
          <w:szCs w:val="22"/>
        </w:rPr>
        <w:t xml:space="preserve">Insurance: IRDAI oversight increasing, same compliance urgency as RBI for fintech.</w:t>
      </w:r>
    </w:p>
    <w:p>
      <w:pPr>
        <w:pStyle w:val="ListParagraph"/>
        <w:numPr>
          <w:ilvl w:val="0"/>
          <w:numId w:val="2"/>
        </w:numPr>
        <w:spacing w:after="60" w:before="60"/>
      </w:pPr>
      <w:r>
        <w:rPr>
          <w:rFonts w:ascii="Arial" w:cs="Arial" w:eastAsia="Arial" w:hAnsi="Arial"/>
          <w:sz w:val="22"/>
          <w:szCs w:val="22"/>
        </w:rPr>
        <w:t xml:space="preserve">Supply Chain and Logistics: Large India market, Flipkart/Meesho/Delhivery stack.</w:t>
      </w:r>
    </w:p>
    <w:p>
      <w:pPr>
        <w:pStyle w:val="ListParagraph"/>
        <w:numPr>
          <w:ilvl w:val="0"/>
          <w:numId w:val="2"/>
        </w:numPr>
        <w:spacing w:after="60" w:before="60"/>
      </w:pPr>
      <w:r>
        <w:rPr>
          <w:rFonts w:ascii="Arial" w:cs="Arial" w:eastAsia="Arial" w:hAnsi="Arial"/>
          <w:sz w:val="22"/>
          <w:szCs w:val="22"/>
        </w:rPr>
        <w:t xml:space="preserve">Real Estate and PropTech: RERA compliance urgency, LLM knows this domain well.</w:t>
      </w:r>
    </w:p>
    <w:p>
      <w:pPr>
        <w:pStyle w:val="Heading3"/>
        <w:spacing w:after="100" w:before="200"/>
      </w:pPr>
      <w:r>
        <w:rPr>
          <w:rFonts w:ascii="Arial" w:cs="Arial" w:eastAsia="Arial" w:hAnsi="Arial"/>
          <w:b/>
          <w:bCs/>
          <w:color w:val="2563EB"/>
          <w:sz w:val="24"/>
          <w:szCs w:val="24"/>
        </w:rPr>
        <w:t xml:space="preserve">Wave 4 — Months 8-12</w:t>
      </w:r>
    </w:p>
    <w:p>
      <w:pPr>
        <w:pStyle w:val="ListParagraph"/>
        <w:numPr>
          <w:ilvl w:val="0"/>
          <w:numId w:val="2"/>
        </w:numPr>
        <w:spacing w:after="60" w:before="60"/>
      </w:pPr>
      <w:r>
        <w:rPr>
          <w:rFonts w:ascii="Arial" w:cs="Arial" w:eastAsia="Arial" w:hAnsi="Arial"/>
          <w:sz w:val="22"/>
          <w:szCs w:val="22"/>
        </w:rPr>
        <w:t xml:space="preserve">Telecom, Manufacturing, EdTech: Larger deal sizes but longer sales cycles.</w:t>
      </w:r>
    </w:p>
    <w:p>
      <w:pPr>
        <w:pStyle w:val="Heading3"/>
        <w:spacing w:after="100" w:before="200"/>
      </w:pPr>
      <w:r>
        <w:rPr>
          <w:rFonts w:ascii="Arial" w:cs="Arial" w:eastAsia="Arial" w:hAnsi="Arial"/>
          <w:b/>
          <w:bCs/>
          <w:color w:val="2563EB"/>
          <w:sz w:val="24"/>
          <w:szCs w:val="24"/>
        </w:rPr>
        <w:t xml:space="preserve">Wave 5 — Year 2+</w:t>
      </w:r>
    </w:p>
    <w:p>
      <w:pPr>
        <w:pStyle w:val="ListParagraph"/>
        <w:numPr>
          <w:ilvl w:val="0"/>
          <w:numId w:val="2"/>
        </w:numPr>
        <w:spacing w:after="60" w:before="60"/>
      </w:pPr>
      <w:r>
        <w:rPr>
          <w:rFonts w:ascii="Arial" w:cs="Arial" w:eastAsia="Arial" w:hAnsi="Arial"/>
          <w:sz w:val="22"/>
          <w:szCs w:val="22"/>
        </w:rPr>
        <w:t xml:space="preserve">Healthcare: Build last. Clinical terminology is high-stakes — a wrong intent name creates liability before there is a customer. Needs a clinical advisor, not just LLM generation.</w:t>
      </w:r>
    </w:p>
    <w:p>
      <w:pPr>
        <w:pStyle w:val="ListParagraph"/>
        <w:numPr>
          <w:ilvl w:val="0"/>
          <w:numId w:val="2"/>
        </w:numPr>
        <w:spacing w:after="60" w:before="60"/>
      </w:pPr>
      <w:r>
        <w:rPr>
          <w:rFonts w:ascii="Arial" w:cs="Arial" w:eastAsia="Arial" w:hAnsi="Arial"/>
          <w:sz w:val="22"/>
          <w:szCs w:val="22"/>
        </w:rPr>
        <w:t xml:space="preserve">Defence and Public Safety: Do not touch before year 3. Security clearance requirements and 18-36 month procurement cycles.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F7D0" w:sz="1"/>
              <w:left w:val="single" w:color="BBF7D0" w:sz="1"/>
              <w:bottom w:val="single" w:color="BBF7D0" w:sz="1"/>
              <w:right w:val="single" w:color="BBF7D0" w:sz="1"/>
            </w:tcBorders>
            <w:shd w:fill="F0FDF4" w:val="clear"/>
            <w:tcMar>
              <w:top w:type="dxa" w:w="140"/>
              <w:left w:type="dxa" w:w="200"/>
              <w:bottom w:type="dxa" w:w="140"/>
              <w:right w:type="dxa" w:w="200"/>
            </w:tcMar>
          </w:tcPr>
          <w:p>
            <w:pPr>
              <w:spacing w:after="80" w:before="0"/>
            </w:pPr>
            <w:r>
              <w:rPr>
                <w:rFonts w:ascii="Arial" w:cs="Arial" w:eastAsia="Arial" w:hAnsi="Arial"/>
                <w:b/>
                <w:bCs/>
                <w:color w:val="1E3A5F"/>
                <w:sz w:val="22"/>
                <w:szCs w:val="22"/>
              </w:rPr>
              <w:t xml:space="preserve">The number that matters</w:t>
            </w:r>
          </w:p>
          <w:p>
            <w:pPr>
              <w:spacing w:after="80" w:before="80"/>
            </w:pPr>
            <w:r>
              <w:rPr>
                <w:rFonts w:ascii="Arial" w:cs="Arial" w:eastAsia="Arial" w:hAnsi="Arial"/>
                <w:sz w:val="22"/>
                <w:szCs w:val="22"/>
              </w:rPr>
              <w:t xml:space="preserve">Executing Waves 1-3 produces approximately 1,200-1,400 governed intents across 11 verticals by month 8. At that point DecisionMesh is not a fintech tool with a horizontal aspiration — it is the broadest AI decision library in the Indian market. That is a fundable, defensible, category-defining position.</w:t>
            </w:r>
          </w:p>
        </w:tc>
      </w:tr>
    </w:tbl>
    <w:p>
      <w:pPr>
        <w:spacing w:after="0" w:before="160"/>
      </w:pPr>
    </w:p>
    <w:p>
      <w:r>
        <w:br w:type="page"/>
      </w:r>
    </w:p>
    <w:p>
      <w:pPr>
        <w:pStyle w:val="Heading1"/>
        <w:pBdr>
          <w:bottom w:val="single" w:color="1E3A5F" w:sz="6" w:space="4"/>
        </w:pBdr>
        <w:spacing w:after="200" w:before="360"/>
      </w:pPr>
      <w:r>
        <w:rPr>
          <w:rFonts w:ascii="Arial" w:cs="Arial" w:eastAsia="Arial" w:hAnsi="Arial"/>
          <w:b/>
          <w:bCs/>
          <w:color w:val="1E3A5F"/>
          <w:sz w:val="36"/>
          <w:szCs w:val="36"/>
        </w:rPr>
        <w:t xml:space="preserve">7.  Current State Assessment</w:t>
      </w:r>
    </w:p>
    <w:p>
      <w:pPr>
        <w:pStyle w:val="Heading2"/>
        <w:spacing w:after="140" w:before="280"/>
      </w:pPr>
      <w:r>
        <w:rPr>
          <w:rFonts w:ascii="Arial" w:cs="Arial" w:eastAsia="Arial" w:hAnsi="Arial"/>
          <w:b/>
          <w:bCs/>
          <w:color w:val="1E3A5F"/>
          <w:sz w:val="28"/>
          <w:szCs w:val="28"/>
        </w:rPr>
        <w:t xml:space="preserve">7.1  How ready is the product for the first paying 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EFF6FF" w:val="clear"/>
            <w:tcMar>
              <w:top w:type="dxa" w:w="100"/>
              <w:left w:type="dxa" w:w="200"/>
              <w:bottom w:type="dxa" w:w="100"/>
              <w:right w:type="dxa" w:w="200"/>
            </w:tcMar>
          </w:tcPr>
          <w:p>
            <w:pPr>
              <w:spacing w:after="0" w:before="0"/>
            </w:pPr>
            <w:r>
              <w:rPr>
                <w:rFonts w:ascii="Arial" w:cs="Arial" w:eastAsia="Arial" w:hAnsi="Arial"/>
                <w:b/>
                <w:bCs/>
                <w:color w:val="2563EB"/>
                <w:sz w:val="20"/>
                <w:szCs w:val="20"/>
              </w:rPr>
              <w:t xml:space="preserve">Q  </w:t>
            </w:r>
            <w:r>
              <w:rPr>
                <w:rFonts w:ascii="Arial" w:cs="Arial" w:eastAsia="Arial" w:hAnsi="Arial"/>
                <w:b/>
                <w:bCs/>
                <w:color w:val="1E3A5F"/>
                <w:sz w:val="20"/>
                <w:szCs w:val="20"/>
              </w:rPr>
              <w:t xml:space="preserve">How much of the existing backend and frontend is aligned with the Month 1-3 strategy of closing fintech customers?</w:t>
            </w:r>
          </w:p>
        </w:tc>
      </w:tr>
    </w:tbl>
    <w:p>
      <w:pPr>
        <w:spacing w:after="0" w:before="80"/>
      </w:pPr>
    </w:p>
    <w:p>
      <w:pPr>
        <w:spacing w:after="80" w:before="80"/>
      </w:pPr>
      <w:r>
        <w:rPr>
          <w:rFonts w:ascii="Arial" w:cs="Arial" w:eastAsia="Arial" w:hAnsi="Arial"/>
          <w:sz w:val="22"/>
          <w:szCs w:val="22"/>
        </w:rPr>
        <w:t xml:space="preserve">Honest scorecard across every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3200"/>
      </w:tblGrid>
      <w:tr>
        <w:tc>
          <w:tcPr>
            <w:tcW w:type="dxa" w:w="26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16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Readiness</w:t>
            </w:r>
          </w:p>
        </w:tc>
        <w:tc>
          <w:tcPr>
            <w:tcW w:type="dxa" w:w="3200"/>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Intent execution engine</w:t>
            </w:r>
          </w:p>
        </w:tc>
        <w:tc>
          <w:tcPr>
            <w:tcW w:type="dxa" w:w="1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95% — ready now</w:t>
            </w:r>
          </w:p>
        </w:tc>
        <w:tc>
          <w:tcPr>
            <w:tcW w:type="dxa" w:w="3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State machine, retry, drift, injection risk — all solid</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Multi-model adapter routing</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95% — ready now</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OpenAI, Claude, Gemini, DeepSeek, Azure — all wired</w:t>
            </w:r>
          </w:p>
        </w:tc>
      </w:tr>
      <w:tr>
        <w:tc>
          <w:tcPr>
            <w:tcW w:type="dxa" w:w="2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Billing (Stripe)</w:t>
            </w:r>
          </w:p>
        </w:tc>
        <w:tc>
          <w:tcPr>
            <w:tcW w:type="dxa" w:w="1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90% — minor gaps</w:t>
            </w:r>
          </w:p>
        </w:tc>
        <w:tc>
          <w:tcPr>
            <w:tcW w:type="dxa" w:w="3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Webhook secret was placeholder — must fix before launch</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Billing (Razorpay)</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70% — risk</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Webhook TODO is a production risk for Indian customers</w:t>
            </w:r>
          </w:p>
        </w:tc>
      </w:tr>
      <w:tr>
        <w:tc>
          <w:tcPr>
            <w:tcW w:type="dxa" w:w="2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Auth / tenancy</w:t>
            </w:r>
          </w:p>
        </w:tc>
        <w:tc>
          <w:tcPr>
            <w:tcW w:type="dxa" w:w="1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95% — ready now</w:t>
            </w:r>
          </w:p>
        </w:tc>
        <w:tc>
          <w:tcPr>
            <w:tcW w:type="dxa" w:w="3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Zitadel OIDC, TenantContext, role-based access — solid</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Audit / compliance</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90% — ready now</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Credit ledger, webhook handlers, policy builder — solid</w:t>
            </w:r>
          </w:p>
        </w:tc>
      </w:tr>
      <w:tr>
        <w:tc>
          <w:tcPr>
            <w:tcW w:type="dxa" w:w="2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Fintech intent library</w:t>
            </w:r>
          </w:p>
        </w:tc>
        <w:tc>
          <w:tcPr>
            <w:tcW w:type="dxa" w:w="1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75% — gaps</w:t>
            </w:r>
          </w:p>
        </w:tc>
        <w:tc>
          <w:tcPr>
            <w:tcW w:type="dxa" w:w="3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Bootstrap bug + library not wired to Playground yet</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Onboarding flow</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20% — biggest gap</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No "Start here" flow — highest churn risk in month 1-3</w:t>
            </w:r>
          </w:p>
        </w:tc>
      </w:tr>
      <w:tr>
        <w:tc>
          <w:tcPr>
            <w:tcW w:type="dxa" w:w="2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Multi-vertical architecture</w:t>
            </w:r>
          </w:p>
        </w:tc>
        <w:tc>
          <w:tcPr>
            <w:tcW w:type="dxa" w:w="1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30% — needs refactor</w:t>
            </w:r>
          </w:p>
        </w:tc>
        <w:tc>
          <w:tcPr>
            <w:tcW w:type="dxa" w:w="3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Works for fintech; needs 1 day rename before legal tech</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Library → Playground wiring</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60% — designed</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color w:val="374151"/>
                <w:sz w:val="18"/>
                <w:szCs w:val="18"/>
              </w:rPr>
              <w:t xml:space="preserve">handleIntentSelect designed but not implemented</w:t>
            </w:r>
          </w:p>
        </w:tc>
      </w:tr>
    </w:tbl>
    <w:p>
      <w:pPr>
        <w:spacing w:after="0" w:before="160"/>
      </w:pPr>
    </w:p>
    <w:p>
      <w:pPr>
        <w:pStyle w:val="Heading2"/>
        <w:spacing w:after="140" w:before="280"/>
      </w:pPr>
      <w:r>
        <w:rPr>
          <w:rFonts w:ascii="Arial" w:cs="Arial" w:eastAsia="Arial" w:hAnsi="Arial"/>
          <w:b/>
          <w:bCs/>
          <w:color w:val="1E3A5F"/>
          <w:sz w:val="28"/>
          <w:szCs w:val="28"/>
        </w:rPr>
        <w:t xml:space="preserve">7.2  Priority fixes before first 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EFF6FF" w:val="clear"/>
            <w:tcMar>
              <w:top w:type="dxa" w:w="100"/>
              <w:left w:type="dxa" w:w="200"/>
              <w:bottom w:type="dxa" w:w="100"/>
              <w:right w:type="dxa" w:w="200"/>
            </w:tcMar>
          </w:tcPr>
          <w:p>
            <w:pPr>
              <w:spacing w:after="0" w:before="0"/>
            </w:pPr>
            <w:r>
              <w:rPr>
                <w:rFonts w:ascii="Arial" w:cs="Arial" w:eastAsia="Arial" w:hAnsi="Arial"/>
                <w:b/>
                <w:bCs/>
                <w:color w:val="2563EB"/>
                <w:sz w:val="20"/>
                <w:szCs w:val="20"/>
              </w:rPr>
              <w:t xml:space="preserve">Q  </w:t>
            </w:r>
            <w:r>
              <w:rPr>
                <w:rFonts w:ascii="Arial" w:cs="Arial" w:eastAsia="Arial" w:hAnsi="Arial"/>
                <w:b/>
                <w:bCs/>
                <w:color w:val="1E3A5F"/>
                <w:sz w:val="20"/>
                <w:szCs w:val="20"/>
              </w:rPr>
              <w:t xml:space="preserve">What must be done this week before onboarding the first customer?</w:t>
            </w:r>
          </w:p>
        </w:tc>
      </w:tr>
    </w:tbl>
    <w:p>
      <w:pPr>
        <w:spacing w:after="0" w:before="80"/>
      </w:pPr>
    </w:p>
    <w:p>
      <w:pPr>
        <w:pStyle w:val="ListParagraph"/>
        <w:numPr>
          <w:ilvl w:val="0"/>
          <w:numId w:val="3"/>
        </w:numPr>
        <w:spacing w:after="60" w:before="60"/>
      </w:pPr>
      <w:r>
        <w:rPr>
          <w:rFonts w:ascii="Arial" w:cs="Arial" w:eastAsia="Arial" w:hAnsi="Arial"/>
          <w:sz w:val="22"/>
          <w:szCs w:val="22"/>
        </w:rPr>
        <w:t xml:space="preserve">Fix FinTechIntentBootstrap idempotency (2 hours) — prevents duplicate inserts on every restart.</w:t>
      </w:r>
    </w:p>
    <w:p>
      <w:pPr>
        <w:pStyle w:val="ListParagraph"/>
        <w:numPr>
          <w:ilvl w:val="0"/>
          <w:numId w:val="3"/>
        </w:numPr>
        <w:spacing w:after="60" w:before="60"/>
      </w:pPr>
      <w:r>
        <w:rPr>
          <w:rFonts w:ascii="Arial" w:cs="Arial" w:eastAsia="Arial" w:hAnsi="Arial"/>
          <w:sz w:val="22"/>
          <w:szCs w:val="22"/>
        </w:rPr>
        <w:t xml:space="preserve">Wire FintechIntents into Playground (3 hours) — customers discover intents through browsing, not memorising names.</w:t>
      </w:r>
    </w:p>
    <w:p>
      <w:pPr>
        <w:pStyle w:val="ListParagraph"/>
        <w:numPr>
          <w:ilvl w:val="0"/>
          <w:numId w:val="3"/>
        </w:numPr>
        <w:spacing w:after="60" w:before="60"/>
      </w:pPr>
      <w:r>
        <w:rPr>
          <w:rFonts w:ascii="Arial" w:cs="Arial" w:eastAsia="Arial" w:hAnsi="Arial"/>
          <w:sz w:val="22"/>
          <w:szCs w:val="22"/>
        </w:rPr>
        <w:t xml:space="preserve">Implement Razorpay webhook handler (4 hours) — safety net for failed verify calls. One lost payment from a paying Indian customer is a support crisis.</w:t>
      </w:r>
    </w:p>
    <w:p>
      <w:pPr>
        <w:pStyle w:val="ListParagraph"/>
        <w:numPr>
          <w:ilvl w:val="0"/>
          <w:numId w:val="3"/>
        </w:numPr>
        <w:spacing w:after="60" w:before="60"/>
      </w:pPr>
      <w:r>
        <w:rPr>
          <w:rFonts w:ascii="Arial" w:cs="Arial" w:eastAsia="Arial" w:hAnsi="Arial"/>
          <w:sz w:val="22"/>
          <w:szCs w:val="22"/>
        </w:rPr>
        <w:t xml:space="preserve">Rename fintech → vertical architecture (1 day) — do this before, not after, first customer goes live.</w:t>
      </w:r>
    </w:p>
    <w:p>
      <w:pPr>
        <w:pStyle w:val="ListParagraph"/>
        <w:numPr>
          <w:ilvl w:val="0"/>
          <w:numId w:val="3"/>
        </w:numPr>
        <w:spacing w:after="60" w:before="60"/>
      </w:pPr>
      <w:r>
        <w:rPr>
          <w:rFonts w:ascii="Arial" w:cs="Arial" w:eastAsia="Arial" w:hAnsi="Arial"/>
          <w:sz w:val="22"/>
          <w:szCs w:val="22"/>
        </w:rPr>
        <w:t xml:space="preserve">Build minimal onboarding flow (2 days) — even 3 steps: Choose domain → Browse intents → Submit first intent. Without this, customers who do not get their first value in the first session do not come back.</w:t>
      </w:r>
    </w:p>
    <w:p>
      <w:pPr>
        <w:spacing w:after="0" w:before="160"/>
      </w:pPr>
    </w:p>
    <w:p>
      <w:r>
        <w:br w:type="page"/>
      </w:r>
    </w:p>
    <w:p>
      <w:pPr>
        <w:pStyle w:val="Heading1"/>
        <w:pBdr>
          <w:bottom w:val="single" w:color="1E3A5F" w:sz="6" w:space="4"/>
        </w:pBdr>
        <w:spacing w:after="200" w:before="360"/>
      </w:pPr>
      <w:r>
        <w:rPr>
          <w:rFonts w:ascii="Arial" w:cs="Arial" w:eastAsia="Arial" w:hAnsi="Arial"/>
          <w:b/>
          <w:bCs/>
          <w:color w:val="1E3A5F"/>
          <w:sz w:val="36"/>
          <w:szCs w:val="36"/>
        </w:rPr>
        <w:t xml:space="preserve">8.  Closing Assessment</w:t>
      </w:r>
    </w:p>
    <w:p>
      <w:pPr>
        <w:spacing w:after="80" w:before="80"/>
      </w:pPr>
      <w:r>
        <w:rPr>
          <w:rFonts w:ascii="Arial" w:cs="Arial" w:eastAsia="Arial" w:hAnsi="Arial"/>
          <w:sz w:val="22"/>
          <w:szCs w:val="22"/>
        </w:rPr>
        <w:t xml:space="preserve">DecisionMesh has built something genuinely rare: a production-grade AI decision governance engine with a deep, domain-specific fintech intent library, dual-payment infrastructure for both India and international markets, and a reactive backend that handles the full intent lifecycle correctly.</w:t>
      </w:r>
    </w:p>
    <w:p>
      <w:pPr>
        <w:spacing w:after="80" w:before="80"/>
      </w:pPr>
      <w:r>
        <w:rPr>
          <w:rFonts w:ascii="Arial" w:cs="Arial" w:eastAsia="Arial" w:hAnsi="Arial"/>
          <w:sz w:val="22"/>
          <w:szCs w:val="22"/>
        </w:rPr>
        <w:t xml:space="preserve">Most early-stage AI governance tools are either policy engines with no domain knowledge or domain-specific tools with no governance layer. DecisionMesh is both. That is the defensible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EFF6FF" w:val="clear"/>
            <w:tcMar>
              <w:top w:type="dxa" w:w="140"/>
              <w:left w:type="dxa" w:w="200"/>
              <w:bottom w:type="dxa" w:w="140"/>
              <w:right w:type="dxa" w:w="200"/>
            </w:tcMar>
          </w:tcPr>
          <w:p>
            <w:pPr>
              <w:spacing w:after="80" w:before="0"/>
            </w:pPr>
            <w:r>
              <w:rPr>
                <w:rFonts w:ascii="Arial" w:cs="Arial" w:eastAsia="Arial" w:hAnsi="Arial"/>
                <w:b/>
                <w:bCs/>
                <w:color w:val="1E3A5F"/>
                <w:sz w:val="22"/>
                <w:szCs w:val="22"/>
              </w:rPr>
              <w:t xml:space="preserve">The honest summary</w:t>
            </w:r>
          </w:p>
          <w:p>
            <w:pPr>
              <w:spacing w:after="80" w:before="80"/>
            </w:pPr>
            <w:r>
              <w:rPr>
                <w:rFonts w:ascii="Arial" w:cs="Arial" w:eastAsia="Arial" w:hAnsi="Arial"/>
                <w:sz w:val="22"/>
                <w:szCs w:val="22"/>
              </w:rPr>
              <w:t xml:space="preserve">The platform engine is 80% production-ready. The fintech go-to-market layer is 40% complete (library not wired to Playground, no onboarding flow, Razorpay webhook not implemented). The multi-vertical architecture is 15% ready (naming is fintech-specific, no vertical switching mechanism).</w:t>
            </w:r>
          </w:p>
          <w:p>
            <w:pPr>
              <w:spacing w:after="80" w:before="80"/>
            </w:pPr>
            <w:r>
              <w:rPr>
                <w:rFonts w:ascii="Arial" w:cs="Arial" w:eastAsia="Arial" w:hAnsi="Arial"/>
                <w:sz w:val="22"/>
                <w:szCs w:val="22"/>
              </w:rPr>
              <w:t xml:space="preserve">None of these gaps are hard to close. They are 1-2 weeks of focused work. The risk is not technical — it is sequencing. Trying to build healthcare and government libraries before fintech customers are paying is the most common mistake at this stage. Do not make it.</w:t>
            </w:r>
          </w:p>
          <w:p>
            <w:pPr>
              <w:spacing w:after="80" w:before="80"/>
            </w:pPr>
            <w:r>
              <w:rPr>
                <w:rFonts w:ascii="Arial" w:cs="Arial" w:eastAsia="Arial" w:hAnsi="Arial"/>
                <w:sz w:val="22"/>
                <w:szCs w:val="22"/>
              </w:rPr>
              <w:t xml:space="preserve">The pitch to investors should be: "We went vertical first because we have the deepest fintech intent library in the market, India-first infrastructure already built, and fintech buyers with budget and urgency today. The horizontal platform is the endgame — fintech is how we earn the right to build it."</w:t>
            </w:r>
          </w:p>
        </w:tc>
      </w:tr>
    </w:tbl>
    <w:p>
      <w:pPr>
        <w:spacing w:after="0" w:before="200"/>
      </w:pPr>
    </w:p>
    <w:p>
      <w:pPr>
        <w:pBdr>
          <w:bottom w:val="single" w:color="E2E8F0" w:sz="4" w:space="4"/>
        </w:pBdr>
        <w:spacing w:after="120" w:before="120"/>
      </w:pPr>
    </w:p>
    <w:p>
      <w:pPr>
        <w:spacing w:after="0" w:before="80"/>
        <w:jc w:val="center"/>
      </w:pPr>
      <w:r>
        <w:rPr>
          <w:rFonts w:ascii="Arial" w:cs="Arial" w:eastAsia="Arial" w:hAnsi="Arial"/>
          <w:color w:val="6B7280"/>
          <w:sz w:val="18"/>
          <w:szCs w:val="18"/>
        </w:rPr>
        <w:t xml:space="preserve">DecisionMesh  ·  AI Control Plane for Enterprise Decisions  ·  decisionmesh.io  ·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spacing w:after="0" w:before="80"/>
      <w:jc w:val="center"/>
    </w:pPr>
    <w:r>
      <w:rPr>
        <w:rFonts w:ascii="Arial" w:cs="Arial" w:eastAsia="Arial" w:hAnsi="Arial"/>
        <w:color w:val="6B7280"/>
        <w:sz w:val="18"/>
        <w:szCs w:val="18"/>
      </w:rPr>
      <w:t xml:space="preserve">DecisionMesh  ·  Confidential  ·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4"/>
      </w:pBdr>
      <w:spacing w:after="80" w:before="0"/>
      <w:jc w:val="right"/>
    </w:pPr>
    <w:r>
      <w:rPr>
        <w:rFonts w:ascii="Arial" w:cs="Arial" w:eastAsia="Arial" w:hAnsi="Arial"/>
        <w:color w:val="6B7280"/>
        <w:sz w:val="18"/>
        <w:szCs w:val="18"/>
      </w:rPr>
      <w:t xml:space="preserve">DecisionMesh — Strategic Discussion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E3A5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2026-04-15T06:43:24.522Z</dcterms:created>
  <dcterms:modified xsi:type="dcterms:W3CDTF">2026-04-15T06:43:24.523Z</dcterms:modified>
</cp:coreProperties>
</file>

<file path=docProps/custom.xml><?xml version="1.0" encoding="utf-8"?>
<Properties xmlns="http://schemas.openxmlformats.org/officeDocument/2006/custom-properties" xmlns:vt="http://schemas.openxmlformats.org/officeDocument/2006/docPropsVTypes"/>
</file>