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40"/>
              <w:left w:type="dxa" w:w="360"/>
              <w:bottom w:type="dxa" w:w="240"/>
              <w:right w:type="dxa" w:w="360"/>
            </w:tcMar>
          </w:tcPr>
          <w:p>
            <w:pPr>
              <w:spacing w:after="60" w:before="0"/>
            </w:pPr>
            <w:r>
              <w:rPr>
                <w:rFonts w:ascii="Arial" w:cs="Arial" w:eastAsia="Arial" w:hAnsi="Arial"/>
                <w:b/>
                <w:bCs/>
                <w:color w:val="FFFFFF"/>
                <w:sz w:val="28"/>
                <w:szCs w:val="28"/>
              </w:rPr>
              <w:t xml:space="preserve">DECIMESHI (OPC) PRIVATE LIMITED</w:t>
            </w:r>
          </w:p>
          <w:p>
            <w:pPr>
              <w:spacing w:after="60" w:before="0"/>
            </w:pPr>
            <w:r>
              <w:rPr>
                <w:rFonts w:ascii="Georgia" w:cs="Georgia" w:eastAsia="Georgia" w:hAnsi="Georgia"/>
                <w:b/>
                <w:bCs/>
                <w:color w:val="D4AF37"/>
                <w:sz w:val="36"/>
                <w:szCs w:val="36"/>
              </w:rPr>
              <w:t xml:space="preserve">Information Security Policy</w:t>
            </w:r>
          </w:p>
          <w:p>
            <w:pPr>
              <w:spacing w:after="0" w:before="0"/>
            </w:pPr>
            <w:r>
              <w:rPr>
                <w:rFonts w:ascii="Arial" w:cs="Arial" w:eastAsia="Arial" w:hAnsi="Arial"/>
                <w:color w:val="AAAAAA"/>
                <w:sz w:val="17"/>
                <w:szCs w:val="17"/>
              </w:rPr>
              <w:t xml:space="preserve">Document ID: DM-POL-001  |  Version: 1.0  |  Effective: June 2026  |  Review: June 2027</w:t>
            </w:r>
          </w:p>
        </w:tc>
      </w:tr>
    </w:tbl>
    <w:p>
      <w:pPr>
        <w:spacing w:after="200" w:before="0"/>
      </w:pPr>
    </w:p>
    <w:p>
      <w:pPr>
        <w:pBdr>
          <w:bottom w:val="single" w:color="B8860B" w:sz="6"/>
        </w:pBdr>
        <w:spacing w:after="120" w:before="360"/>
      </w:pPr>
      <w:r>
        <w:rPr>
          <w:rFonts w:ascii="Arial" w:cs="Arial" w:eastAsia="Arial" w:hAnsi="Arial"/>
          <w:b/>
          <w:bCs/>
          <w:color w:val="1A1A2E"/>
          <w:spacing w:val="40"/>
          <w:sz w:val="26"/>
          <w:szCs w:val="26"/>
        </w:rPr>
        <w:t xml:space="preserve">1. Purpose</w:t>
      </w:r>
    </w:p>
    <w:p>
      <w:pPr>
        <w:spacing w:after="120" w:before="0"/>
      </w:pPr>
      <w:r>
        <w:rPr>
          <w:rFonts w:ascii="Arial" w:cs="Arial" w:eastAsia="Arial" w:hAnsi="Arial"/>
          <w:color w:val="1a1a1a"/>
          <w:sz w:val="20"/>
          <w:szCs w:val="20"/>
        </w:rPr>
        <w:t xml:space="preserve">This Information Security Policy establishes the framework for protecting the confidentiality, integrity, and availability of information assets at DECIMESHI (OPC) PRIVATE LIMITED. It applies to the DecisionMesh AI Control Plane platform and all associated systems, personnel, and third-party relationships.</w:t>
      </w:r>
    </w:p>
    <w:p>
      <w:pPr>
        <w:pBdr>
          <w:bottom w:val="single" w:color="B8860B" w:sz="6"/>
        </w:pBdr>
        <w:spacing w:after="120" w:before="360"/>
      </w:pPr>
      <w:r>
        <w:rPr>
          <w:rFonts w:ascii="Arial" w:cs="Arial" w:eastAsia="Arial" w:hAnsi="Arial"/>
          <w:b/>
          <w:bCs/>
          <w:color w:val="1A1A2E"/>
          <w:spacing w:val="40"/>
          <w:sz w:val="26"/>
          <w:szCs w:val="26"/>
        </w:rPr>
        <w:t xml:space="preserve">2. Scope</w:t>
      </w:r>
    </w:p>
    <w:p>
      <w:pPr>
        <w:spacing w:after="120" w:before="0"/>
      </w:pPr>
      <w:r>
        <w:rPr>
          <w:rFonts w:ascii="Arial" w:cs="Arial" w:eastAsia="Arial" w:hAnsi="Arial"/>
          <w:color w:val="1a1a1a"/>
          <w:sz w:val="20"/>
          <w:szCs w:val="20"/>
        </w:rPr>
        <w:t xml:space="preserve">This policy applies to:</w:t>
      </w:r>
    </w:p>
    <w:p>
      <w:pPr>
        <w:pStyle w:val="ListParagraph"/>
        <w:numPr>
          <w:ilvl w:val="0"/>
          <w:numId w:val="2"/>
        </w:numPr>
        <w:spacing w:after="40" w:before="40"/>
      </w:pPr>
      <w:r>
        <w:rPr>
          <w:rFonts w:ascii="Arial" w:cs="Arial" w:eastAsia="Arial" w:hAnsi="Arial"/>
          <w:color w:val="1a1a1a"/>
          <w:sz w:val="20"/>
          <w:szCs w:val="20"/>
        </w:rPr>
        <w:t xml:space="preserve">All information systems owned or operated by DecisionMesh</w:t>
      </w:r>
    </w:p>
    <w:p>
      <w:pPr>
        <w:pStyle w:val="ListParagraph"/>
        <w:numPr>
          <w:ilvl w:val="0"/>
          <w:numId w:val="2"/>
        </w:numPr>
        <w:spacing w:after="40" w:before="40"/>
      </w:pPr>
      <w:r>
        <w:rPr>
          <w:rFonts w:ascii="Arial" w:cs="Arial" w:eastAsia="Arial" w:hAnsi="Arial"/>
          <w:color w:val="1a1a1a"/>
          <w:sz w:val="20"/>
          <w:szCs w:val="20"/>
        </w:rPr>
        <w:t xml:space="preserve">All employees, contractors, and third-party vendors with access to DecisionMesh systems</w:t>
      </w:r>
    </w:p>
    <w:p>
      <w:pPr>
        <w:pStyle w:val="ListParagraph"/>
        <w:numPr>
          <w:ilvl w:val="0"/>
          <w:numId w:val="2"/>
        </w:numPr>
        <w:spacing w:after="40" w:before="40"/>
      </w:pPr>
      <w:r>
        <w:rPr>
          <w:rFonts w:ascii="Arial" w:cs="Arial" w:eastAsia="Arial" w:hAnsi="Arial"/>
          <w:color w:val="1a1a1a"/>
          <w:sz w:val="20"/>
          <w:szCs w:val="20"/>
        </w:rPr>
        <w:t xml:space="preserve">All data processed on behalf of DecisionMesh customers</w:t>
      </w:r>
    </w:p>
    <w:p>
      <w:pPr>
        <w:pStyle w:val="ListParagraph"/>
        <w:numPr>
          <w:ilvl w:val="0"/>
          <w:numId w:val="2"/>
        </w:numPr>
        <w:spacing w:after="40" w:before="40"/>
      </w:pPr>
      <w:r>
        <w:rPr>
          <w:rFonts w:ascii="Arial" w:cs="Arial" w:eastAsia="Arial" w:hAnsi="Arial"/>
          <w:color w:val="1a1a1a"/>
          <w:sz w:val="20"/>
          <w:szCs w:val="20"/>
        </w:rPr>
        <w:t xml:space="preserve">All environments — production, staging, and development</w:t>
      </w:r>
    </w:p>
    <w:p>
      <w:pPr>
        <w:pBdr>
          <w:bottom w:val="single" w:color="B8860B" w:sz="6"/>
        </w:pBdr>
        <w:spacing w:after="120" w:before="360"/>
      </w:pPr>
      <w:r>
        <w:rPr>
          <w:rFonts w:ascii="Arial" w:cs="Arial" w:eastAsia="Arial" w:hAnsi="Arial"/>
          <w:b/>
          <w:bCs/>
          <w:color w:val="1A1A2E"/>
          <w:spacing w:val="40"/>
          <w:sz w:val="26"/>
          <w:szCs w:val="26"/>
        </w:rPr>
        <w:t xml:space="preserve">3. Information Security Objectives</w:t>
      </w:r>
    </w:p>
    <w:p>
      <w:pPr>
        <w:pStyle w:val="ListParagraph"/>
        <w:numPr>
          <w:ilvl w:val="0"/>
          <w:numId w:val="2"/>
        </w:numPr>
        <w:spacing w:after="40" w:before="40"/>
      </w:pPr>
      <w:r>
        <w:rPr>
          <w:rFonts w:ascii="Arial" w:cs="Arial" w:eastAsia="Arial" w:hAnsi="Arial"/>
          <w:color w:val="1a1a1a"/>
          <w:sz w:val="20"/>
          <w:szCs w:val="20"/>
        </w:rPr>
        <w:t xml:space="preserve">Protect customer data from unauthorized access, disclosure, alteration, or destruction</w:t>
      </w:r>
    </w:p>
    <w:p>
      <w:pPr>
        <w:pStyle w:val="ListParagraph"/>
        <w:numPr>
          <w:ilvl w:val="0"/>
          <w:numId w:val="2"/>
        </w:numPr>
        <w:spacing w:after="40" w:before="40"/>
      </w:pPr>
      <w:r>
        <w:rPr>
          <w:rFonts w:ascii="Arial" w:cs="Arial" w:eastAsia="Arial" w:hAnsi="Arial"/>
          <w:color w:val="1a1a1a"/>
          <w:sz w:val="20"/>
          <w:szCs w:val="20"/>
        </w:rPr>
        <w:t xml:space="preserve">Ensure continuous availability of the DecisionMesh platform (target: 99.9% uptime)</w:t>
      </w:r>
    </w:p>
    <w:p>
      <w:pPr>
        <w:pStyle w:val="ListParagraph"/>
        <w:numPr>
          <w:ilvl w:val="0"/>
          <w:numId w:val="2"/>
        </w:numPr>
        <w:spacing w:after="40" w:before="40"/>
      </w:pPr>
      <w:r>
        <w:rPr>
          <w:rFonts w:ascii="Arial" w:cs="Arial" w:eastAsia="Arial" w:hAnsi="Arial"/>
          <w:color w:val="1a1a1a"/>
          <w:sz w:val="20"/>
          <w:szCs w:val="20"/>
        </w:rPr>
        <w:t xml:space="preserve">Comply with applicable regulations — GDPR, DPDPA 2023, EU AI Act, SOC 2 Type II</w:t>
      </w:r>
    </w:p>
    <w:p>
      <w:pPr>
        <w:pStyle w:val="ListParagraph"/>
        <w:numPr>
          <w:ilvl w:val="0"/>
          <w:numId w:val="2"/>
        </w:numPr>
        <w:spacing w:after="40" w:before="40"/>
      </w:pPr>
      <w:r>
        <w:rPr>
          <w:rFonts w:ascii="Arial" w:cs="Arial" w:eastAsia="Arial" w:hAnsi="Arial"/>
          <w:color w:val="1a1a1a"/>
          <w:sz w:val="20"/>
          <w:szCs w:val="20"/>
        </w:rPr>
        <w:t xml:space="preserve">Detect and respond to security incidents within defined SLAs</w:t>
      </w:r>
    </w:p>
    <w:p>
      <w:pPr>
        <w:pStyle w:val="ListParagraph"/>
        <w:numPr>
          <w:ilvl w:val="0"/>
          <w:numId w:val="2"/>
        </w:numPr>
        <w:spacing w:after="40" w:before="40"/>
      </w:pPr>
      <w:r>
        <w:rPr>
          <w:rFonts w:ascii="Arial" w:cs="Arial" w:eastAsia="Arial" w:hAnsi="Arial"/>
          <w:color w:val="1a1a1a"/>
          <w:sz w:val="20"/>
          <w:szCs w:val="20"/>
        </w:rPr>
        <w:t xml:space="preserve">Maintain an immutable audit trail of all AI governance decisions</w:t>
      </w:r>
    </w:p>
    <w:p>
      <w:pPr>
        <w:pBdr>
          <w:bottom w:val="single" w:color="B8860B" w:sz="6"/>
        </w:pBdr>
        <w:spacing w:after="120" w:before="360"/>
      </w:pPr>
      <w:r>
        <w:rPr>
          <w:rFonts w:ascii="Arial" w:cs="Arial" w:eastAsia="Arial" w:hAnsi="Arial"/>
          <w:b/>
          <w:bCs/>
          <w:color w:val="1A1A2E"/>
          <w:spacing w:val="40"/>
          <w:sz w:val="26"/>
          <w:szCs w:val="26"/>
        </w:rPr>
        <w:t xml:space="preserve">4. Information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Classification</w:t>
            </w:r>
          </w:p>
        </w:tc>
        <w:tc>
          <w:tcPr>
            <w:tcW w:type="dxa" w:w="3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3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Examples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Confidential</w:t>
            </w:r>
          </w:p>
        </w:tc>
        <w:tc>
          <w:tcPr>
            <w:tcW w:type="dxa" w:w="368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Highest sensitivity — restricted access</w:t>
            </w:r>
          </w:p>
        </w:tc>
        <w:tc>
          <w:tcPr>
            <w:tcW w:type="dxa" w:w="368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API keys, payment data, Vault secrets, customer PII</w:t>
            </w:r>
          </w:p>
        </w:tc>
      </w:tr>
      <w:tr>
        <w:tc>
          <w:tcPr>
            <w:tcW w:type="dxa" w:w="20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Internal</w:t>
            </w:r>
          </w:p>
        </w:tc>
        <w:tc>
          <w:tcPr>
            <w:tcW w:type="dxa" w:w="368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Internal use only — not for public disclosure</w:t>
            </w:r>
          </w:p>
        </w:tc>
        <w:tc>
          <w:tcPr>
            <w:tcW w:type="dxa" w:w="368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Architecture docs, deployment configs, audit logs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Public</w:t>
            </w:r>
          </w:p>
        </w:tc>
        <w:tc>
          <w:tcPr>
            <w:tcW w:type="dxa" w:w="368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Approved for external sharing</w:t>
            </w:r>
          </w:p>
        </w:tc>
        <w:tc>
          <w:tcPr>
            <w:tcW w:type="dxa" w:w="368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Marketing materials, public API docs, pricing</w:t>
            </w:r>
          </w:p>
        </w:tc>
      </w:tr>
    </w:tbl>
    <w:p>
      <w:pPr>
        <w:pBdr>
          <w:bottom w:val="single" w:color="B8860B" w:sz="6"/>
        </w:pBdr>
        <w:spacing w:after="120" w:before="360"/>
      </w:pPr>
      <w:r>
        <w:rPr>
          <w:rFonts w:ascii="Arial" w:cs="Arial" w:eastAsia="Arial" w:hAnsi="Arial"/>
          <w:b/>
          <w:bCs/>
          <w:color w:val="1A1A2E"/>
          <w:spacing w:val="40"/>
          <w:sz w:val="26"/>
          <w:szCs w:val="26"/>
        </w:rPr>
        <w:t xml:space="preserve">5. Access Control</w:t>
      </w:r>
    </w:p>
    <w:p>
      <w:pPr>
        <w:pStyle w:val="ListParagraph"/>
        <w:numPr>
          <w:ilvl w:val="0"/>
          <w:numId w:val="2"/>
        </w:numPr>
        <w:spacing w:after="40" w:before="40"/>
      </w:pPr>
      <w:r>
        <w:rPr>
          <w:rFonts w:ascii="Arial" w:cs="Arial" w:eastAsia="Arial" w:hAnsi="Arial"/>
          <w:color w:val="1a1a1a"/>
          <w:sz w:val="20"/>
          <w:szCs w:val="20"/>
        </w:rPr>
        <w:t xml:space="preserve">Access to systems is granted on the principle of least privilege</w:t>
      </w:r>
    </w:p>
    <w:p>
      <w:pPr>
        <w:pStyle w:val="ListParagraph"/>
        <w:numPr>
          <w:ilvl w:val="0"/>
          <w:numId w:val="2"/>
        </w:numPr>
        <w:spacing w:after="40" w:before="40"/>
      </w:pPr>
      <w:r>
        <w:rPr>
          <w:rFonts w:ascii="Arial" w:cs="Arial" w:eastAsia="Arial" w:hAnsi="Arial"/>
          <w:color w:val="1a1a1a"/>
          <w:sz w:val="20"/>
          <w:szCs w:val="20"/>
        </w:rPr>
        <w:t xml:space="preserve">All production access requires multi-factor authentication (MFA)</w:t>
      </w:r>
    </w:p>
    <w:p>
      <w:pPr>
        <w:pStyle w:val="ListParagraph"/>
        <w:numPr>
          <w:ilvl w:val="0"/>
          <w:numId w:val="2"/>
        </w:numPr>
        <w:spacing w:after="40" w:before="40"/>
      </w:pPr>
      <w:r>
        <w:rPr>
          <w:rFonts w:ascii="Arial" w:cs="Arial" w:eastAsia="Arial" w:hAnsi="Arial"/>
          <w:color w:val="1a1a1a"/>
          <w:sz w:val="20"/>
          <w:szCs w:val="20"/>
        </w:rPr>
        <w:t xml:space="preserve">Access rights are reviewed quarterly and revoked immediately upon offboarding</w:t>
      </w:r>
    </w:p>
    <w:p>
      <w:pPr>
        <w:pStyle w:val="ListParagraph"/>
        <w:numPr>
          <w:ilvl w:val="0"/>
          <w:numId w:val="2"/>
        </w:numPr>
        <w:spacing w:after="40" w:before="40"/>
      </w:pPr>
      <w:r>
        <w:rPr>
          <w:rFonts w:ascii="Arial" w:cs="Arial" w:eastAsia="Arial" w:hAnsi="Arial"/>
          <w:color w:val="1a1a1a"/>
          <w:sz w:val="20"/>
          <w:szCs w:val="20"/>
        </w:rPr>
        <w:t xml:space="preserve">API keys and secrets are stored exclusively in OpenBao (Vault-compatible) — never in code or config files</w:t>
      </w:r>
    </w:p>
    <w:p>
      <w:pPr>
        <w:pStyle w:val="ListParagraph"/>
        <w:numPr>
          <w:ilvl w:val="0"/>
          <w:numId w:val="2"/>
        </w:numPr>
        <w:spacing w:after="40" w:before="40"/>
      </w:pPr>
      <w:r>
        <w:rPr>
          <w:rFonts w:ascii="Arial" w:cs="Arial" w:eastAsia="Arial" w:hAnsi="Arial"/>
          <w:color w:val="1a1a1a"/>
          <w:sz w:val="20"/>
          <w:szCs w:val="20"/>
        </w:rPr>
        <w:t xml:space="preserve">Role-based access control (RBAC) is enforced via Zitadel for all platform users</w:t>
      </w:r>
    </w:p>
    <w:p>
      <w:pPr>
        <w:pStyle w:val="ListParagraph"/>
        <w:numPr>
          <w:ilvl w:val="0"/>
          <w:numId w:val="2"/>
        </w:numPr>
        <w:spacing w:after="40" w:before="40"/>
      </w:pPr>
      <w:r>
        <w:rPr>
          <w:rFonts w:ascii="Arial" w:cs="Arial" w:eastAsia="Arial" w:hAnsi="Arial"/>
          <w:color w:val="1a1a1a"/>
          <w:sz w:val="20"/>
          <w:szCs w:val="20"/>
        </w:rPr>
        <w:t xml:space="preserve">Privileged access to production infrastructure is logged and monitored</w:t>
      </w:r>
    </w:p>
    <w:p>
      <w:pPr>
        <w:pBdr>
          <w:bottom w:val="single" w:color="B8860B" w:sz="6"/>
        </w:pBdr>
        <w:spacing w:after="120" w:before="360"/>
      </w:pPr>
      <w:r>
        <w:rPr>
          <w:rFonts w:ascii="Arial" w:cs="Arial" w:eastAsia="Arial" w:hAnsi="Arial"/>
          <w:b/>
          <w:bCs/>
          <w:color w:val="1A1A2E"/>
          <w:spacing w:val="40"/>
          <w:sz w:val="26"/>
          <w:szCs w:val="26"/>
        </w:rPr>
        <w:t xml:space="preserve">6. Cryptography</w:t>
      </w:r>
    </w:p>
    <w:p>
      <w:pPr>
        <w:pStyle w:val="ListParagraph"/>
        <w:numPr>
          <w:ilvl w:val="0"/>
          <w:numId w:val="2"/>
        </w:numPr>
        <w:spacing w:after="40" w:before="40"/>
      </w:pPr>
      <w:r>
        <w:rPr>
          <w:rFonts w:ascii="Arial" w:cs="Arial" w:eastAsia="Arial" w:hAnsi="Arial"/>
          <w:color w:val="1a1a1a"/>
          <w:sz w:val="20"/>
          <w:szCs w:val="20"/>
        </w:rPr>
        <w:t xml:space="preserve">All data at rest is encrypted using AES-256</w:t>
      </w:r>
    </w:p>
    <w:p>
      <w:pPr>
        <w:pStyle w:val="ListParagraph"/>
        <w:numPr>
          <w:ilvl w:val="0"/>
          <w:numId w:val="2"/>
        </w:numPr>
        <w:spacing w:after="40" w:before="40"/>
      </w:pPr>
      <w:r>
        <w:rPr>
          <w:rFonts w:ascii="Arial" w:cs="Arial" w:eastAsia="Arial" w:hAnsi="Arial"/>
          <w:color w:val="1a1a1a"/>
          <w:sz w:val="20"/>
          <w:szCs w:val="20"/>
        </w:rPr>
        <w:t xml:space="preserve">All data in transit is encrypted using TLS 1.2 or higher (enforced by Caddy)</w:t>
      </w:r>
    </w:p>
    <w:p>
      <w:pPr>
        <w:pStyle w:val="ListParagraph"/>
        <w:numPr>
          <w:ilvl w:val="0"/>
          <w:numId w:val="2"/>
        </w:numPr>
        <w:spacing w:after="40" w:before="40"/>
      </w:pPr>
      <w:r>
        <w:rPr>
          <w:rFonts w:ascii="Arial" w:cs="Arial" w:eastAsia="Arial" w:hAnsi="Arial"/>
          <w:color w:val="1a1a1a"/>
          <w:sz w:val="20"/>
          <w:szCs w:val="20"/>
        </w:rPr>
        <w:t xml:space="preserve">TLS certificates are automatically managed and renewed via Let's Encrypt</w:t>
      </w:r>
    </w:p>
    <w:p>
      <w:pPr>
        <w:pStyle w:val="ListParagraph"/>
        <w:numPr>
          <w:ilvl w:val="0"/>
          <w:numId w:val="2"/>
        </w:numPr>
        <w:spacing w:after="40" w:before="40"/>
      </w:pPr>
      <w:r>
        <w:rPr>
          <w:rFonts w:ascii="Arial" w:cs="Arial" w:eastAsia="Arial" w:hAnsi="Arial"/>
          <w:color w:val="1a1a1a"/>
          <w:sz w:val="20"/>
          <w:szCs w:val="20"/>
        </w:rPr>
        <w:t xml:space="preserve">Cryptographic keys are managed via OpenBao — never stored in plaintext</w:t>
      </w:r>
    </w:p>
    <w:p>
      <w:pPr>
        <w:pBdr>
          <w:bottom w:val="single" w:color="B8860B" w:sz="6"/>
        </w:pBdr>
        <w:spacing w:after="120" w:before="360"/>
      </w:pPr>
      <w:r>
        <w:rPr>
          <w:rFonts w:ascii="Arial" w:cs="Arial" w:eastAsia="Arial" w:hAnsi="Arial"/>
          <w:b/>
          <w:bCs/>
          <w:color w:val="1A1A2E"/>
          <w:spacing w:val="40"/>
          <w:sz w:val="26"/>
          <w:szCs w:val="26"/>
        </w:rPr>
        <w:t xml:space="preserve">7. Network Security</w:t>
      </w:r>
    </w:p>
    <w:p>
      <w:pPr>
        <w:pStyle w:val="ListParagraph"/>
        <w:numPr>
          <w:ilvl w:val="0"/>
          <w:numId w:val="2"/>
        </w:numPr>
        <w:spacing w:after="40" w:before="40"/>
      </w:pPr>
      <w:r>
        <w:rPr>
          <w:rFonts w:ascii="Arial" w:cs="Arial" w:eastAsia="Arial" w:hAnsi="Arial"/>
          <w:color w:val="1a1a1a"/>
          <w:sz w:val="20"/>
          <w:szCs w:val="20"/>
        </w:rPr>
        <w:t xml:space="preserve">Production infrastructure is hosted on Hetzner Cloud (Nuremberg, Germany — EU jurisdiction)</w:t>
      </w:r>
    </w:p>
    <w:p>
      <w:pPr>
        <w:pStyle w:val="ListParagraph"/>
        <w:numPr>
          <w:ilvl w:val="0"/>
          <w:numId w:val="2"/>
        </w:numPr>
        <w:spacing w:after="40" w:before="40"/>
      </w:pPr>
      <w:r>
        <w:rPr>
          <w:rFonts w:ascii="Arial" w:cs="Arial" w:eastAsia="Arial" w:hAnsi="Arial"/>
          <w:color w:val="1a1a1a"/>
          <w:sz w:val="20"/>
          <w:szCs w:val="20"/>
        </w:rPr>
        <w:t xml:space="preserve">All external traffic is routed through Caddy reverse proxy with automatic HTTPS</w:t>
      </w:r>
    </w:p>
    <w:p>
      <w:pPr>
        <w:pStyle w:val="ListParagraph"/>
        <w:numPr>
          <w:ilvl w:val="0"/>
          <w:numId w:val="2"/>
        </w:numPr>
        <w:spacing w:after="40" w:before="40"/>
      </w:pPr>
      <w:r>
        <w:rPr>
          <w:rFonts w:ascii="Arial" w:cs="Arial" w:eastAsia="Arial" w:hAnsi="Arial"/>
          <w:color w:val="1a1a1a"/>
          <w:sz w:val="20"/>
          <w:szCs w:val="20"/>
        </w:rPr>
        <w:t xml:space="preserve">Internal services communicate over isolated Docker networks — not exposed to the internet</w:t>
      </w:r>
    </w:p>
    <w:p>
      <w:pPr>
        <w:pStyle w:val="ListParagraph"/>
        <w:numPr>
          <w:ilvl w:val="0"/>
          <w:numId w:val="2"/>
        </w:numPr>
        <w:spacing w:after="40" w:before="40"/>
      </w:pPr>
      <w:r>
        <w:rPr>
          <w:rFonts w:ascii="Arial" w:cs="Arial" w:eastAsia="Arial" w:hAnsi="Arial"/>
          <w:color w:val="1a1a1a"/>
          <w:sz w:val="20"/>
          <w:szCs w:val="20"/>
        </w:rPr>
        <w:t xml:space="preserve">Prometheus and Grafana monitoring are accessible only via authenticated HTTPS endpoints</w:t>
      </w:r>
    </w:p>
    <w:p>
      <w:pPr>
        <w:pStyle w:val="ListParagraph"/>
        <w:numPr>
          <w:ilvl w:val="0"/>
          <w:numId w:val="2"/>
        </w:numPr>
        <w:spacing w:after="40" w:before="40"/>
      </w:pPr>
      <w:r>
        <w:rPr>
          <w:rFonts w:ascii="Arial" w:cs="Arial" w:eastAsia="Arial" w:hAnsi="Arial"/>
          <w:color w:val="1a1a1a"/>
          <w:sz w:val="20"/>
          <w:szCs w:val="20"/>
        </w:rPr>
        <w:t xml:space="preserve">Port 22 (SSH) access is restricted to authorised IP addresses</w:t>
      </w:r>
    </w:p>
    <w:p>
      <w:pPr>
        <w:pBdr>
          <w:bottom w:val="single" w:color="B8860B" w:sz="6"/>
        </w:pBdr>
        <w:spacing w:after="120" w:before="360"/>
      </w:pPr>
      <w:r>
        <w:rPr>
          <w:rFonts w:ascii="Arial" w:cs="Arial" w:eastAsia="Arial" w:hAnsi="Arial"/>
          <w:b/>
          <w:bCs/>
          <w:color w:val="1A1A2E"/>
          <w:spacing w:val="40"/>
          <w:sz w:val="26"/>
          <w:szCs w:val="26"/>
        </w:rPr>
        <w:t xml:space="preserve">8. Vulnerability Management</w:t>
      </w:r>
    </w:p>
    <w:p>
      <w:pPr>
        <w:pStyle w:val="ListParagraph"/>
        <w:numPr>
          <w:ilvl w:val="0"/>
          <w:numId w:val="2"/>
        </w:numPr>
        <w:spacing w:after="40" w:before="40"/>
      </w:pPr>
      <w:r>
        <w:rPr>
          <w:rFonts w:ascii="Arial" w:cs="Arial" w:eastAsia="Arial" w:hAnsi="Arial"/>
          <w:color w:val="1a1a1a"/>
          <w:sz w:val="20"/>
          <w:szCs w:val="20"/>
        </w:rPr>
        <w:t xml:space="preserve">Dependencies are reviewed for known vulnerabilities before each release</w:t>
      </w:r>
    </w:p>
    <w:p>
      <w:pPr>
        <w:pStyle w:val="ListParagraph"/>
        <w:numPr>
          <w:ilvl w:val="0"/>
          <w:numId w:val="2"/>
        </w:numPr>
        <w:spacing w:after="40" w:before="40"/>
      </w:pPr>
      <w:r>
        <w:rPr>
          <w:rFonts w:ascii="Arial" w:cs="Arial" w:eastAsia="Arial" w:hAnsi="Arial"/>
          <w:color w:val="1a1a1a"/>
          <w:sz w:val="20"/>
          <w:szCs w:val="20"/>
        </w:rPr>
        <w:t xml:space="preserve">Docker base images are updated quarterly or when critical CVEs are disclosed</w:t>
      </w:r>
    </w:p>
    <w:p>
      <w:pPr>
        <w:pStyle w:val="ListParagraph"/>
        <w:numPr>
          <w:ilvl w:val="0"/>
          <w:numId w:val="2"/>
        </w:numPr>
        <w:spacing w:after="40" w:before="40"/>
      </w:pPr>
      <w:r>
        <w:rPr>
          <w:rFonts w:ascii="Arial" w:cs="Arial" w:eastAsia="Arial" w:hAnsi="Arial"/>
          <w:color w:val="1a1a1a"/>
          <w:sz w:val="20"/>
          <w:szCs w:val="20"/>
        </w:rPr>
        <w:t xml:space="preserve">Penetration testing is conducted annually or after significant architecture changes</w:t>
      </w:r>
    </w:p>
    <w:p>
      <w:pPr>
        <w:pStyle w:val="ListParagraph"/>
        <w:numPr>
          <w:ilvl w:val="0"/>
          <w:numId w:val="2"/>
        </w:numPr>
        <w:spacing w:after="40" w:before="40"/>
      </w:pPr>
      <w:r>
        <w:rPr>
          <w:rFonts w:ascii="Arial" w:cs="Arial" w:eastAsia="Arial" w:hAnsi="Arial"/>
          <w:color w:val="1a1a1a"/>
          <w:sz w:val="20"/>
          <w:szCs w:val="20"/>
        </w:rPr>
        <w:t xml:space="preserve">Security patches are applied within 30 days of disclosure (critical: within 7 days)</w:t>
      </w:r>
    </w:p>
    <w:p>
      <w:pPr>
        <w:pBdr>
          <w:bottom w:val="single" w:color="B8860B" w:sz="6"/>
        </w:pBdr>
        <w:spacing w:after="120" w:before="360"/>
      </w:pPr>
      <w:r>
        <w:rPr>
          <w:rFonts w:ascii="Arial" w:cs="Arial" w:eastAsia="Arial" w:hAnsi="Arial"/>
          <w:b/>
          <w:bCs/>
          <w:color w:val="1A1A2E"/>
          <w:spacing w:val="40"/>
          <w:sz w:val="26"/>
          <w:szCs w:val="26"/>
        </w:rPr>
        <w:t xml:space="preserve">9. Logging and Monitoring</w:t>
      </w:r>
    </w:p>
    <w:p>
      <w:pPr>
        <w:pStyle w:val="ListParagraph"/>
        <w:numPr>
          <w:ilvl w:val="0"/>
          <w:numId w:val="2"/>
        </w:numPr>
        <w:spacing w:after="40" w:before="40"/>
      </w:pPr>
      <w:r>
        <w:rPr>
          <w:rFonts w:ascii="Arial" w:cs="Arial" w:eastAsia="Arial" w:hAnsi="Arial"/>
          <w:color w:val="1a1a1a"/>
          <w:sz w:val="20"/>
          <w:szCs w:val="20"/>
        </w:rPr>
        <w:t xml:space="preserve">All API requests are logged with tenant ID, user ID, action, and outcome</w:t>
      </w:r>
    </w:p>
    <w:p>
      <w:pPr>
        <w:pStyle w:val="ListParagraph"/>
        <w:numPr>
          <w:ilvl w:val="0"/>
          <w:numId w:val="2"/>
        </w:numPr>
        <w:spacing w:after="40" w:before="40"/>
      </w:pPr>
      <w:r>
        <w:rPr>
          <w:rFonts w:ascii="Arial" w:cs="Arial" w:eastAsia="Arial" w:hAnsi="Arial"/>
          <w:color w:val="1a1a1a"/>
          <w:sz w:val="20"/>
          <w:szCs w:val="20"/>
        </w:rPr>
        <w:t xml:space="preserve">Audit logs are immutable — protected by database triggers (fn_guard_immutable)</w:t>
      </w:r>
    </w:p>
    <w:p>
      <w:pPr>
        <w:pStyle w:val="ListParagraph"/>
        <w:numPr>
          <w:ilvl w:val="0"/>
          <w:numId w:val="2"/>
        </w:numPr>
        <w:spacing w:after="40" w:before="40"/>
      </w:pPr>
      <w:r>
        <w:rPr>
          <w:rFonts w:ascii="Arial" w:cs="Arial" w:eastAsia="Arial" w:hAnsi="Arial"/>
          <w:color w:val="1a1a1a"/>
          <w:sz w:val="20"/>
          <w:szCs w:val="20"/>
        </w:rPr>
        <w:t xml:space="preserve">Prometheus metrics are collected every 10 seconds from all services</w:t>
      </w:r>
    </w:p>
    <w:p>
      <w:pPr>
        <w:pStyle w:val="ListParagraph"/>
        <w:numPr>
          <w:ilvl w:val="0"/>
          <w:numId w:val="2"/>
        </w:numPr>
        <w:spacing w:after="40" w:before="40"/>
      </w:pPr>
      <w:r>
        <w:rPr>
          <w:rFonts w:ascii="Arial" w:cs="Arial" w:eastAsia="Arial" w:hAnsi="Arial"/>
          <w:color w:val="1a1a1a"/>
          <w:sz w:val="20"/>
          <w:szCs w:val="20"/>
        </w:rPr>
        <w:t xml:space="preserve">Grafana dashboards provide real-time visibility into system health and performance</w:t>
      </w:r>
    </w:p>
    <w:p>
      <w:pPr>
        <w:pStyle w:val="ListParagraph"/>
        <w:numPr>
          <w:ilvl w:val="0"/>
          <w:numId w:val="2"/>
        </w:numPr>
        <w:spacing w:after="40" w:before="40"/>
      </w:pPr>
      <w:r>
        <w:rPr>
          <w:rFonts w:ascii="Arial" w:cs="Arial" w:eastAsia="Arial" w:hAnsi="Arial"/>
          <w:color w:val="1a1a1a"/>
          <w:sz w:val="20"/>
          <w:szCs w:val="20"/>
        </w:rPr>
        <w:t xml:space="preserve">UptimeRobot monitors external availability every 5 minutes with email and Discord alerts</w:t>
      </w:r>
    </w:p>
    <w:p>
      <w:pPr>
        <w:pStyle w:val="ListParagraph"/>
        <w:numPr>
          <w:ilvl w:val="0"/>
          <w:numId w:val="2"/>
        </w:numPr>
        <w:spacing w:after="40" w:before="40"/>
      </w:pPr>
      <w:r>
        <w:rPr>
          <w:rFonts w:ascii="Arial" w:cs="Arial" w:eastAsia="Arial" w:hAnsi="Arial"/>
          <w:color w:val="1a1a1a"/>
          <w:sz w:val="20"/>
          <w:szCs w:val="20"/>
        </w:rPr>
        <w:t xml:space="preserve">Logs are retained for 7 years per the Data Retention Policy (DM-POL-003)</w:t>
      </w:r>
    </w:p>
    <w:p>
      <w:pPr>
        <w:pBdr>
          <w:bottom w:val="single" w:color="B8860B" w:sz="6"/>
        </w:pBdr>
        <w:spacing w:after="120" w:before="360"/>
      </w:pPr>
      <w:r>
        <w:rPr>
          <w:rFonts w:ascii="Arial" w:cs="Arial" w:eastAsia="Arial" w:hAnsi="Arial"/>
          <w:b/>
          <w:bCs/>
          <w:color w:val="1A1A2E"/>
          <w:spacing w:val="40"/>
          <w:sz w:val="26"/>
          <w:szCs w:val="26"/>
        </w:rPr>
        <w:t xml:space="preserve">10. Incident Response</w:t>
      </w:r>
    </w:p>
    <w:p>
      <w:pPr>
        <w:spacing w:after="120" w:before="0"/>
      </w:pPr>
      <w:r>
        <w:rPr>
          <w:rFonts w:ascii="Arial" w:cs="Arial" w:eastAsia="Arial" w:hAnsi="Arial"/>
          <w:color w:val="1a1a1a"/>
          <w:sz w:val="20"/>
          <w:szCs w:val="20"/>
        </w:rPr>
        <w:t xml:space="preserve">Security incidents are managed per the Incident Response Policy (DM-POL-004). Key SLAs:</w:t>
      </w:r>
    </w:p>
    <w:p>
      <w:pPr>
        <w:pStyle w:val="ListParagraph"/>
        <w:numPr>
          <w:ilvl w:val="0"/>
          <w:numId w:val="2"/>
        </w:numPr>
        <w:spacing w:after="40" w:before="40"/>
      </w:pPr>
      <w:r>
        <w:rPr>
          <w:rFonts w:ascii="Arial" w:cs="Arial" w:eastAsia="Arial" w:hAnsi="Arial"/>
          <w:color w:val="1a1a1a"/>
          <w:sz w:val="20"/>
          <w:szCs w:val="20"/>
        </w:rPr>
        <w:t xml:space="preserve">Critical incidents (data breach, service down): respond within 1 hour</w:t>
      </w:r>
    </w:p>
    <w:p>
      <w:pPr>
        <w:pStyle w:val="ListParagraph"/>
        <w:numPr>
          <w:ilvl w:val="0"/>
          <w:numId w:val="2"/>
        </w:numPr>
        <w:spacing w:after="40" w:before="40"/>
      </w:pPr>
      <w:r>
        <w:rPr>
          <w:rFonts w:ascii="Arial" w:cs="Arial" w:eastAsia="Arial" w:hAnsi="Arial"/>
          <w:color w:val="1a1a1a"/>
          <w:sz w:val="20"/>
          <w:szCs w:val="20"/>
        </w:rPr>
        <w:t xml:space="preserve">High severity (degraded performance, failed auth): respond within 4 hours</w:t>
      </w:r>
    </w:p>
    <w:p>
      <w:pPr>
        <w:pStyle w:val="ListParagraph"/>
        <w:numPr>
          <w:ilvl w:val="0"/>
          <w:numId w:val="2"/>
        </w:numPr>
        <w:spacing w:after="40" w:before="40"/>
      </w:pPr>
      <w:r>
        <w:rPr>
          <w:rFonts w:ascii="Arial" w:cs="Arial" w:eastAsia="Arial" w:hAnsi="Arial"/>
          <w:color w:val="1a1a1a"/>
          <w:sz w:val="20"/>
          <w:szCs w:val="20"/>
        </w:rPr>
        <w:t xml:space="preserve">Medium severity (non-critical errors): respond within 24 hours</w:t>
      </w:r>
    </w:p>
    <w:p>
      <w:pPr>
        <w:pBdr>
          <w:bottom w:val="single" w:color="B8860B" w:sz="6"/>
        </w:pBdr>
        <w:spacing w:after="120" w:before="360"/>
      </w:pPr>
      <w:r>
        <w:rPr>
          <w:rFonts w:ascii="Arial" w:cs="Arial" w:eastAsia="Arial" w:hAnsi="Arial"/>
          <w:b/>
          <w:bCs/>
          <w:color w:val="1A1A2E"/>
          <w:spacing w:val="40"/>
          <w:sz w:val="26"/>
          <w:szCs w:val="26"/>
        </w:rPr>
        <w:t xml:space="preserve">11. Third-Party Security</w:t>
      </w:r>
    </w:p>
    <w:p>
      <w:pPr>
        <w:pStyle w:val="ListParagraph"/>
        <w:numPr>
          <w:ilvl w:val="0"/>
          <w:numId w:val="2"/>
        </w:numPr>
        <w:spacing w:after="40" w:before="40"/>
      </w:pPr>
      <w:r>
        <w:rPr>
          <w:rFonts w:ascii="Arial" w:cs="Arial" w:eastAsia="Arial" w:hAnsi="Arial"/>
          <w:color w:val="1a1a1a"/>
          <w:sz w:val="20"/>
          <w:szCs w:val="20"/>
        </w:rPr>
        <w:t xml:space="preserve">All third-party vendors are assessed for security compliance before onboarding</w:t>
      </w:r>
    </w:p>
    <w:p>
      <w:pPr>
        <w:pStyle w:val="ListParagraph"/>
        <w:numPr>
          <w:ilvl w:val="0"/>
          <w:numId w:val="2"/>
        </w:numPr>
        <w:spacing w:after="40" w:before="40"/>
      </w:pPr>
      <w:r>
        <w:rPr>
          <w:rFonts w:ascii="Arial" w:cs="Arial" w:eastAsia="Arial" w:hAnsi="Arial"/>
          <w:color w:val="1a1a1a"/>
          <w:sz w:val="20"/>
          <w:szCs w:val="20"/>
        </w:rPr>
        <w:t xml:space="preserve">Vendor access is restricted to the minimum required for their service</w:t>
      </w:r>
    </w:p>
    <w:p>
      <w:pPr>
        <w:pStyle w:val="ListParagraph"/>
        <w:numPr>
          <w:ilvl w:val="0"/>
          <w:numId w:val="2"/>
        </w:numPr>
        <w:spacing w:after="40" w:before="40"/>
      </w:pPr>
      <w:r>
        <w:rPr>
          <w:rFonts w:ascii="Arial" w:cs="Arial" w:eastAsia="Arial" w:hAnsi="Arial"/>
          <w:color w:val="1a1a1a"/>
          <w:sz w:val="20"/>
          <w:szCs w:val="20"/>
        </w:rPr>
        <w:t xml:space="preserve">AI provider integrations (OpenAI, Anthropic, Gemini) are governed by BYOK policies</w:t>
      </w:r>
    </w:p>
    <w:p>
      <w:pPr>
        <w:pStyle w:val="ListParagraph"/>
        <w:numPr>
          <w:ilvl w:val="0"/>
          <w:numId w:val="2"/>
        </w:numPr>
        <w:spacing w:after="40" w:before="40"/>
      </w:pPr>
      <w:r>
        <w:rPr>
          <w:rFonts w:ascii="Arial" w:cs="Arial" w:eastAsia="Arial" w:hAnsi="Arial"/>
          <w:color w:val="1a1a1a"/>
          <w:sz w:val="20"/>
          <w:szCs w:val="20"/>
        </w:rPr>
        <w:t xml:space="preserve">Payment processing is handled by Stripe and Razorpay — PCI DSS compliant providers</w:t>
      </w:r>
    </w:p>
    <w:p>
      <w:pPr>
        <w:pBdr>
          <w:bottom w:val="single" w:color="B8860B" w:sz="6"/>
        </w:pBdr>
        <w:spacing w:after="120" w:before="360"/>
      </w:pPr>
      <w:r>
        <w:rPr>
          <w:rFonts w:ascii="Arial" w:cs="Arial" w:eastAsia="Arial" w:hAnsi="Arial"/>
          <w:b/>
          <w:bCs/>
          <w:color w:val="1A1A2E"/>
          <w:spacing w:val="40"/>
          <w:sz w:val="26"/>
          <w:szCs w:val="26"/>
        </w:rPr>
        <w:t xml:space="preserve">12. Business Continuity</w:t>
      </w:r>
    </w:p>
    <w:p>
      <w:pPr>
        <w:pStyle w:val="ListParagraph"/>
        <w:numPr>
          <w:ilvl w:val="0"/>
          <w:numId w:val="2"/>
        </w:numPr>
        <w:spacing w:after="40" w:before="40"/>
      </w:pPr>
      <w:r>
        <w:rPr>
          <w:rFonts w:ascii="Arial" w:cs="Arial" w:eastAsia="Arial" w:hAnsi="Arial"/>
          <w:color w:val="1a1a1a"/>
          <w:sz w:val="20"/>
          <w:szCs w:val="20"/>
        </w:rPr>
        <w:t xml:space="preserve">PostgreSQL database is backed up daily with 30-day retention</w:t>
      </w:r>
    </w:p>
    <w:p>
      <w:pPr>
        <w:pStyle w:val="ListParagraph"/>
        <w:numPr>
          <w:ilvl w:val="0"/>
          <w:numId w:val="2"/>
        </w:numPr>
        <w:spacing w:after="40" w:before="40"/>
      </w:pPr>
      <w:r>
        <w:rPr>
          <w:rFonts w:ascii="Arial" w:cs="Arial" w:eastAsia="Arial" w:hAnsi="Arial"/>
          <w:color w:val="1a1a1a"/>
          <w:sz w:val="20"/>
          <w:szCs w:val="20"/>
        </w:rPr>
        <w:t xml:space="preserve">Recovery Time Objective (RTO): 4 hours</w:t>
      </w:r>
    </w:p>
    <w:p>
      <w:pPr>
        <w:pStyle w:val="ListParagraph"/>
        <w:numPr>
          <w:ilvl w:val="0"/>
          <w:numId w:val="2"/>
        </w:numPr>
        <w:spacing w:after="40" w:before="40"/>
      </w:pPr>
      <w:r>
        <w:rPr>
          <w:rFonts w:ascii="Arial" w:cs="Arial" w:eastAsia="Arial" w:hAnsi="Arial"/>
          <w:color w:val="1a1a1a"/>
          <w:sz w:val="20"/>
          <w:szCs w:val="20"/>
        </w:rPr>
        <w:t xml:space="preserve">Recovery Point Objective (RPO): 24 hours</w:t>
      </w:r>
    </w:p>
    <w:p>
      <w:pPr>
        <w:pStyle w:val="ListParagraph"/>
        <w:numPr>
          <w:ilvl w:val="0"/>
          <w:numId w:val="2"/>
        </w:numPr>
        <w:spacing w:after="40" w:before="40"/>
      </w:pPr>
      <w:r>
        <w:rPr>
          <w:rFonts w:ascii="Arial" w:cs="Arial" w:eastAsia="Arial" w:hAnsi="Arial"/>
          <w:color w:val="1a1a1a"/>
          <w:sz w:val="20"/>
          <w:szCs w:val="20"/>
        </w:rPr>
        <w:t xml:space="preserve">Disaster recovery procedures are documented and tested annually</w:t>
      </w:r>
    </w:p>
    <w:p>
      <w:pPr>
        <w:pBdr>
          <w:bottom w:val="single" w:color="B8860B" w:sz="6"/>
        </w:pBdr>
        <w:spacing w:after="120" w:before="360"/>
      </w:pPr>
      <w:r>
        <w:rPr>
          <w:rFonts w:ascii="Arial" w:cs="Arial" w:eastAsia="Arial" w:hAnsi="Arial"/>
          <w:b/>
          <w:bCs/>
          <w:color w:val="1A1A2E"/>
          <w:spacing w:val="40"/>
          <w:sz w:val="26"/>
          <w:szCs w:val="26"/>
        </w:rPr>
        <w:t xml:space="preserve">13. Policy Compliance</w:t>
      </w:r>
    </w:p>
    <w:p>
      <w:pPr>
        <w:pStyle w:val="ListParagraph"/>
        <w:numPr>
          <w:ilvl w:val="0"/>
          <w:numId w:val="2"/>
        </w:numPr>
        <w:spacing w:after="40" w:before="40"/>
      </w:pPr>
      <w:r>
        <w:rPr>
          <w:rFonts w:ascii="Arial" w:cs="Arial" w:eastAsia="Arial" w:hAnsi="Arial"/>
          <w:color w:val="1a1a1a"/>
          <w:sz w:val="20"/>
          <w:szCs w:val="20"/>
        </w:rPr>
        <w:t xml:space="preserve">Violations of this policy may result in disciplinary action up to and including termination</w:t>
      </w:r>
    </w:p>
    <w:p>
      <w:pPr>
        <w:pStyle w:val="ListParagraph"/>
        <w:numPr>
          <w:ilvl w:val="0"/>
          <w:numId w:val="2"/>
        </w:numPr>
        <w:spacing w:after="40" w:before="40"/>
      </w:pPr>
      <w:r>
        <w:rPr>
          <w:rFonts w:ascii="Arial" w:cs="Arial" w:eastAsia="Arial" w:hAnsi="Arial"/>
          <w:color w:val="1a1a1a"/>
          <w:sz w:val="20"/>
          <w:szCs w:val="20"/>
        </w:rPr>
        <w:t xml:space="preserve">Suspected violations should be reported to support@decimeshi.com</w:t>
      </w:r>
    </w:p>
    <w:p>
      <w:pPr>
        <w:pStyle w:val="ListParagraph"/>
        <w:numPr>
          <w:ilvl w:val="0"/>
          <w:numId w:val="2"/>
        </w:numPr>
        <w:spacing w:after="40" w:before="40"/>
      </w:pPr>
      <w:r>
        <w:rPr>
          <w:rFonts w:ascii="Arial" w:cs="Arial" w:eastAsia="Arial" w:hAnsi="Arial"/>
          <w:color w:val="1a1a1a"/>
          <w:sz w:val="20"/>
          <w:szCs w:val="20"/>
        </w:rPr>
        <w:t xml:space="preserve">This policy is reviewed annually or after significant security incidents</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A1A2E"/>
                <w:sz w:val="20"/>
                <w:szCs w:val="20"/>
              </w:rPr>
              <w:t xml:space="preserve">Approved by:</w:t>
            </w:r>
          </w:p>
          <w:p>
            <w:pPr>
              <w:spacing w:after="40" w:before="0"/>
            </w:pPr>
            <w:r>
              <w:rPr>
                <w:rFonts w:ascii="Arial" w:cs="Arial" w:eastAsia="Arial" w:hAnsi="Arial"/>
                <w:color w:val="1a1a1a"/>
                <w:sz w:val="20"/>
                <w:szCs w:val="20"/>
              </w:rPr>
              <w:t xml:space="preserve">Thirupala  |  Director, DECIMESHI (OPC) PRIVATE LIMITED</w:t>
            </w:r>
          </w:p>
          <w:p>
            <w:pPr>
              <w:spacing w:after="40" w:before="0"/>
            </w:pPr>
            <w:r>
              <w:rPr>
                <w:rFonts w:ascii="Arial" w:cs="Arial" w:eastAsia="Arial" w:hAnsi="Arial"/>
                <w:color w:val="666666"/>
                <w:sz w:val="20"/>
                <w:szCs w:val="20"/>
              </w:rPr>
              <w:t xml:space="preserve">Date: June 2026</w:t>
            </w:r>
          </w:p>
          <w:p>
            <w:pPr>
              <w:spacing w:after="0" w:before="0"/>
            </w:pPr>
            <w:r>
              <w:rPr>
                <w:rFonts w:ascii="Arial" w:cs="Arial" w:eastAsia="Arial" w:hAnsi="Arial"/>
                <w:color w:val="666666"/>
                <w:sz w:val="20"/>
                <w:szCs w:val="20"/>
              </w:rPr>
              <w:t xml:space="preserve">Next Review: June 2027</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2026-06-02T06:13:28.375Z</dcterms:created>
  <dcterms:modified xsi:type="dcterms:W3CDTF">2026-06-02T06:13:28.387Z</dcterms:modified>
</cp:coreProperties>
</file>

<file path=docProps/custom.xml><?xml version="1.0" encoding="utf-8"?>
<Properties xmlns="http://schemas.openxmlformats.org/officeDocument/2006/custom-properties" xmlns:vt="http://schemas.openxmlformats.org/officeDocument/2006/docPropsVTypes"/>
</file>