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DECIMESHI (OPC) PRIVATE LIMITED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36"/>
                <w:szCs w:val="36"/>
              </w:rPr>
              <w:t xml:space="preserve">Access Control Policy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Document ID: DM-POL-002  |  Version: 1.0  |  Effective: June 2026  |  Review: June 2027</w:t>
            </w:r>
          </w:p>
        </w:tc>
      </w:tr>
    </w:tbl>
    <w:p>
      <w:pPr>
        <w:spacing w:after="200" w:before="0"/>
      </w:pP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Access Control Policy defines how DECIMESHI (OPC) PRIVATE LIMITED manages access to information systems, infrastructure, and customer data. It ensures that access is granted on a need-to-know and least-privilege basis.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2. Scope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policy applies to all systems, applications, and infrastructure components of the DecisionMesh platform including production and staging environments, cloud infrastructure, and third-party services.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3. Access Control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Least Privilege — users are granted the minimum access required to perform their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Need to Know — access to sensitive data is restricted to those with a legitimate business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Separation of Duties — critical operations require approval from more than one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Zero Trust — all access requests are authenticated and authorized regardless of network location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4. User Access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 Provisioning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user accounts are created in Zitadel (OIDC/OAuth2 identity 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is granted based on role — ADMIN, ANALYST, or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accounts require approval from the Director before provisioning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Default permissions are set to minimum — additional access requires explicit request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users must authenticate via Zitadel using email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Multi-factor authentication (MFA) is mandatory for all ADMIN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JWT tokens expire after 1 hour — silent refresh handles active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access requires valid API keys stored and validated via OpenBao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 Deprovisioning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is revoked immediately upon employee or contractor offboarding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keys are revoked within 24 hours of role change or termination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Revoked API keys are retained for 90 days for audit purposes then purged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5.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access — manage users, policies, adapters, billing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 owners and administrators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ANALYST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 + write intents, view executions, manage policies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governance team members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Read-only access to dashboards and audit logs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 officers, auditors</w:t>
            </w:r>
          </w:p>
        </w:tc>
      </w:tr>
    </w:tbl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6. Infrastructure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SSH access to Hetzner production server is restricted to authorised IP addresses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 database is not accessible from the public internet — internal network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OpenBao secrets vault requires a valid token — root token is stored securely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 containers run with minimum required capabilities — no privileged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repository access follows branch protection rules — direct push to main is blocked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7. Access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access rights are reviewed quarterly by the Director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Inactive accounts (no login for 90 days) are automatically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key usage is monitored — unused keys for 90 days trigger a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review findings are documented and remediation tracked to closure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8. Privileged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 infrastructure access is logged — all SSH sessions recorded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direct access requires approval and is logged in the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OpenBao root token is kept offline — day-to-day operations use limited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Break-glass access procedures are documented for emergency scenarios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9. Third-Party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Third-party access is granted on a time-limited basis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third-party accounts are subject to the same MFA requirements as internal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Third-party access is revoked immediately upon contract termination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Approved by: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Thirupala  |  Director, DECIMESHI (OPC) PRIVATE LIMITED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Date: June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Next Review: June 2027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2026-06-02T06:13:28.401Z</dcterms:created>
  <dcterms:modified xsi:type="dcterms:W3CDTF">2026-06-02T06:13:28.401Z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