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40"/>
              <w:left w:type="dxa" w:w="360"/>
              <w:bottom w:type="dxa" w:w="240"/>
              <w:right w:type="dxa" w:w="360"/>
            </w:tcMar>
          </w:tcPr>
          <w:p>
            <w:pPr>
              <w:spacing w:after="60" w:before="0"/>
            </w:pPr>
            <w:r>
              <w:rPr>
                <w:rFonts w:ascii="Arial" w:cs="Arial" w:eastAsia="Arial" w:hAnsi="Arial"/>
                <w:b/>
                <w:bCs/>
                <w:color w:val="FFFFFF"/>
                <w:sz w:val="28"/>
                <w:szCs w:val="28"/>
              </w:rPr>
              <w:t xml:space="preserve">DECIMESHI (OPC) PRIVATE LIMITED</w:t>
            </w:r>
          </w:p>
          <w:p>
            <w:pPr>
              <w:spacing w:after="60" w:before="0"/>
            </w:pPr>
            <w:r>
              <w:rPr>
                <w:rFonts w:ascii="Georgia" w:cs="Georgia" w:eastAsia="Georgia" w:hAnsi="Georgia"/>
                <w:b/>
                <w:bCs/>
                <w:color w:val="D4AF37"/>
                <w:sz w:val="36"/>
                <w:szCs w:val="36"/>
              </w:rPr>
              <w:t xml:space="preserve">Incident Response Policy</w:t>
            </w:r>
          </w:p>
          <w:p>
            <w:pPr>
              <w:spacing w:after="0" w:before="0"/>
            </w:pPr>
            <w:r>
              <w:rPr>
                <w:rFonts w:ascii="Arial" w:cs="Arial" w:eastAsia="Arial" w:hAnsi="Arial"/>
                <w:color w:val="AAAAAA"/>
                <w:sz w:val="17"/>
                <w:szCs w:val="17"/>
              </w:rPr>
              <w:t xml:space="preserve">Document ID: DM-POL-004  |  Version: 1.0  |  Effective: June 2026  |  Review: June 2027</w:t>
            </w:r>
          </w:p>
        </w:tc>
      </w:tr>
    </w:tbl>
    <w:p>
      <w:pPr>
        <w:spacing w:after="200" w:before="0"/>
      </w:pPr>
    </w:p>
    <w:p>
      <w:pPr>
        <w:pBdr>
          <w:bottom w:val="single" w:color="B8860B" w:sz="6"/>
        </w:pBdr>
        <w:spacing w:after="120" w:before="360"/>
      </w:pPr>
      <w:r>
        <w:rPr>
          <w:rFonts w:ascii="Arial" w:cs="Arial" w:eastAsia="Arial" w:hAnsi="Arial"/>
          <w:b/>
          <w:bCs/>
          <w:color w:val="1A1A2E"/>
          <w:spacing w:val="40"/>
          <w:sz w:val="26"/>
          <w:szCs w:val="26"/>
        </w:rPr>
        <w:t xml:space="preserve">1. Purpose</w:t>
      </w:r>
    </w:p>
    <w:p>
      <w:pPr>
        <w:spacing w:after="120" w:before="0"/>
      </w:pPr>
      <w:r>
        <w:rPr>
          <w:rFonts w:ascii="Arial" w:cs="Arial" w:eastAsia="Arial" w:hAnsi="Arial"/>
          <w:color w:val="1a1a1a"/>
          <w:sz w:val="20"/>
          <w:szCs w:val="20"/>
        </w:rPr>
        <w:t xml:space="preserve">This Incident Response Policy establishes procedures for detecting, responding to, and recovering from security incidents affecting the DecisionMesh platform. It ensures incidents are handled consistently, customer impact is minimized, and regulatory obligations are met.</w:t>
      </w:r>
    </w:p>
    <w:p>
      <w:pPr>
        <w:pBdr>
          <w:bottom w:val="single" w:color="B8860B" w:sz="6"/>
        </w:pBdr>
        <w:spacing w:after="120" w:before="360"/>
      </w:pPr>
      <w:r>
        <w:rPr>
          <w:rFonts w:ascii="Arial" w:cs="Arial" w:eastAsia="Arial" w:hAnsi="Arial"/>
          <w:b/>
          <w:bCs/>
          <w:color w:val="1A1A2E"/>
          <w:spacing w:val="40"/>
          <w:sz w:val="26"/>
          <w:szCs w:val="26"/>
        </w:rPr>
        <w:t xml:space="preserve">2. Scope</w:t>
      </w:r>
    </w:p>
    <w:p>
      <w:pPr>
        <w:spacing w:after="120" w:before="0"/>
      </w:pPr>
      <w:r>
        <w:rPr>
          <w:rFonts w:ascii="Arial" w:cs="Arial" w:eastAsia="Arial" w:hAnsi="Arial"/>
          <w:color w:val="1a1a1a"/>
          <w:sz w:val="20"/>
          <w:szCs w:val="20"/>
        </w:rPr>
        <w:t xml:space="preserve">This policy covers all security incidents affecting DecisionMesh systems, customer data, or platform availability including data breaches, unauthorized access, service outages, and malware infections.</w:t>
      </w:r>
    </w:p>
    <w:p>
      <w:pPr>
        <w:pBdr>
          <w:bottom w:val="single" w:color="B8860B" w:sz="6"/>
        </w:pBdr>
        <w:spacing w:after="120" w:before="360"/>
      </w:pPr>
      <w:r>
        <w:rPr>
          <w:rFonts w:ascii="Arial" w:cs="Arial" w:eastAsia="Arial" w:hAnsi="Arial"/>
          <w:b/>
          <w:bCs/>
          <w:color w:val="1A1A2E"/>
          <w:spacing w:val="40"/>
          <w:sz w:val="26"/>
          <w:szCs w:val="26"/>
        </w:rPr>
        <w:t xml:space="preserve">3. Incident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80"/>
        <w:gridCol w:w="2480"/>
      </w:tblGrid>
      <w:tr>
        <w:tc>
          <w:tcPr>
            <w:tcW w:type="dxa" w:w="16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Severity</w:t>
            </w:r>
          </w:p>
        </w:tc>
        <w:tc>
          <w:tcPr>
            <w:tcW w:type="dxa" w:w="2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248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Response Time</w:t>
            </w:r>
          </w:p>
        </w:tc>
        <w:tc>
          <w:tcPr>
            <w:tcW w:type="dxa" w:w="248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Examples</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Critical</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Data breach or complete service outage</w:t>
            </w:r>
          </w:p>
        </w:tc>
        <w:tc>
          <w:tcPr>
            <w:tcW w:type="dxa" w:w="248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1 hour</w:t>
            </w:r>
          </w:p>
        </w:tc>
        <w:tc>
          <w:tcPr>
            <w:tcW w:type="dxa" w:w="248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Customer PII exposed, API down</w:t>
            </w:r>
          </w:p>
        </w:tc>
      </w:tr>
      <w:tr>
        <w:tc>
          <w:tcPr>
            <w:tcW w:type="dxa" w:w="160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High</w:t>
            </w:r>
          </w:p>
        </w:tc>
        <w:tc>
          <w:tcPr>
            <w:tcW w:type="dxa" w:w="280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Significant degradation or security threat</w:t>
            </w:r>
          </w:p>
        </w:tc>
        <w:tc>
          <w:tcPr>
            <w:tcW w:type="dxa" w:w="248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4 hours</w:t>
            </w:r>
          </w:p>
        </w:tc>
        <w:tc>
          <w:tcPr>
            <w:tcW w:type="dxa" w:w="248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Auth failures, performance degraded</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Medium</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Partial impact, non-critical systems</w:t>
            </w:r>
          </w:p>
        </w:tc>
        <w:tc>
          <w:tcPr>
            <w:tcW w:type="dxa" w:w="248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24 hours</w:t>
            </w:r>
          </w:p>
        </w:tc>
        <w:tc>
          <w:tcPr>
            <w:tcW w:type="dxa" w:w="248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Non-critical service errors</w:t>
            </w:r>
          </w:p>
        </w:tc>
      </w:tr>
      <w:tr>
        <w:tc>
          <w:tcPr>
            <w:tcW w:type="dxa" w:w="160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Low</w:t>
            </w:r>
          </w:p>
        </w:tc>
        <w:tc>
          <w:tcPr>
            <w:tcW w:type="dxa" w:w="280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Minimal impact, informational</w:t>
            </w:r>
          </w:p>
        </w:tc>
        <w:tc>
          <w:tcPr>
            <w:tcW w:type="dxa" w:w="248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72 hours</w:t>
            </w:r>
          </w:p>
        </w:tc>
        <w:tc>
          <w:tcPr>
            <w:tcW w:type="dxa" w:w="248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Failed login attempts, minor bugs</w:t>
            </w:r>
          </w:p>
        </w:tc>
      </w:tr>
    </w:tbl>
    <w:p>
      <w:pPr>
        <w:pBdr>
          <w:bottom w:val="single" w:color="B8860B" w:sz="6"/>
        </w:pBdr>
        <w:spacing w:after="120" w:before="360"/>
      </w:pPr>
      <w:r>
        <w:rPr>
          <w:rFonts w:ascii="Arial" w:cs="Arial" w:eastAsia="Arial" w:hAnsi="Arial"/>
          <w:b/>
          <w:bCs/>
          <w:color w:val="1A1A2E"/>
          <w:spacing w:val="40"/>
          <w:sz w:val="26"/>
          <w:szCs w:val="26"/>
        </w:rPr>
        <w:t xml:space="preserve">4. Incident Response Phases</w:t>
      </w:r>
    </w:p>
    <w:p>
      <w:pPr>
        <w:spacing w:after="80" w:before="200"/>
      </w:pPr>
      <w:r>
        <w:rPr>
          <w:rFonts w:ascii="Arial" w:cs="Arial" w:eastAsia="Arial" w:hAnsi="Arial"/>
          <w:b/>
          <w:bCs/>
          <w:color w:val="1A1A2E"/>
          <w:sz w:val="22"/>
          <w:szCs w:val="22"/>
        </w:rPr>
        <w:t xml:space="preserve">Phase 1 — Detection &amp; Identification</w:t>
      </w:r>
    </w:p>
    <w:p>
      <w:pPr>
        <w:pStyle w:val="ListParagraph"/>
        <w:numPr>
          <w:ilvl w:val="0"/>
          <w:numId w:val="2"/>
        </w:numPr>
        <w:spacing w:after="40" w:before="40"/>
      </w:pPr>
      <w:r>
        <w:rPr>
          <w:rFonts w:ascii="Arial" w:cs="Arial" w:eastAsia="Arial" w:hAnsi="Arial"/>
          <w:color w:val="1a1a1a"/>
          <w:sz w:val="20"/>
          <w:szCs w:val="20"/>
        </w:rPr>
        <w:t xml:space="preserve">Monitor UptimeRobot alerts (email + Discord) for availability issues</w:t>
      </w:r>
    </w:p>
    <w:p>
      <w:pPr>
        <w:pStyle w:val="ListParagraph"/>
        <w:numPr>
          <w:ilvl w:val="0"/>
          <w:numId w:val="2"/>
        </w:numPr>
        <w:spacing w:after="40" w:before="40"/>
      </w:pPr>
      <w:r>
        <w:rPr>
          <w:rFonts w:ascii="Arial" w:cs="Arial" w:eastAsia="Arial" w:hAnsi="Arial"/>
          <w:color w:val="1a1a1a"/>
          <w:sz w:val="20"/>
          <w:szCs w:val="20"/>
        </w:rPr>
        <w:t xml:space="preserve">Review Grafana dashboards for anomalous metrics — error rates, latency spikes</w:t>
      </w:r>
    </w:p>
    <w:p>
      <w:pPr>
        <w:pStyle w:val="ListParagraph"/>
        <w:numPr>
          <w:ilvl w:val="0"/>
          <w:numId w:val="2"/>
        </w:numPr>
        <w:spacing w:after="40" w:before="40"/>
      </w:pPr>
      <w:r>
        <w:rPr>
          <w:rFonts w:ascii="Arial" w:cs="Arial" w:eastAsia="Arial" w:hAnsi="Arial"/>
          <w:color w:val="1a1a1a"/>
          <w:sz w:val="20"/>
          <w:szCs w:val="20"/>
        </w:rPr>
        <w:t xml:space="preserve">Review Prometheus alerts for threshold breaches</w:t>
      </w:r>
    </w:p>
    <w:p>
      <w:pPr>
        <w:pStyle w:val="ListParagraph"/>
        <w:numPr>
          <w:ilvl w:val="0"/>
          <w:numId w:val="2"/>
        </w:numPr>
        <w:spacing w:after="40" w:before="40"/>
      </w:pPr>
      <w:r>
        <w:rPr>
          <w:rFonts w:ascii="Arial" w:cs="Arial" w:eastAsia="Arial" w:hAnsi="Arial"/>
          <w:color w:val="1a1a1a"/>
          <w:sz w:val="20"/>
          <w:szCs w:val="20"/>
        </w:rPr>
        <w:t xml:space="preserve">Analyse audit logs for unauthorized access attempts</w:t>
      </w:r>
    </w:p>
    <w:p>
      <w:pPr>
        <w:pStyle w:val="ListParagraph"/>
        <w:numPr>
          <w:ilvl w:val="0"/>
          <w:numId w:val="2"/>
        </w:numPr>
        <w:spacing w:after="40" w:before="40"/>
      </w:pPr>
      <w:r>
        <w:rPr>
          <w:rFonts w:ascii="Arial" w:cs="Arial" w:eastAsia="Arial" w:hAnsi="Arial"/>
          <w:color w:val="1a1a1a"/>
          <w:sz w:val="20"/>
          <w:szCs w:val="20"/>
        </w:rPr>
        <w:t xml:space="preserve">Receive reports from customers or third parties via support@decimeshi.com</w:t>
      </w:r>
    </w:p>
    <w:p>
      <w:pPr>
        <w:spacing w:after="80" w:before="200"/>
      </w:pPr>
      <w:r>
        <w:rPr>
          <w:rFonts w:ascii="Arial" w:cs="Arial" w:eastAsia="Arial" w:hAnsi="Arial"/>
          <w:b/>
          <w:bCs/>
          <w:color w:val="1A1A2E"/>
          <w:sz w:val="22"/>
          <w:szCs w:val="22"/>
        </w:rPr>
        <w:t xml:space="preserve">Phase 2 — Containment</w:t>
      </w:r>
    </w:p>
    <w:p>
      <w:pPr>
        <w:pStyle w:val="ListParagraph"/>
        <w:numPr>
          <w:ilvl w:val="0"/>
          <w:numId w:val="2"/>
        </w:numPr>
        <w:spacing w:after="40" w:before="40"/>
      </w:pPr>
      <w:r>
        <w:rPr>
          <w:rFonts w:ascii="Arial" w:cs="Arial" w:eastAsia="Arial" w:hAnsi="Arial"/>
          <w:color w:val="1a1a1a"/>
          <w:sz w:val="20"/>
          <w:szCs w:val="20"/>
        </w:rPr>
        <w:t xml:space="preserve">Isolate affected systems to prevent further damage</w:t>
      </w:r>
    </w:p>
    <w:p>
      <w:pPr>
        <w:pStyle w:val="ListParagraph"/>
        <w:numPr>
          <w:ilvl w:val="0"/>
          <w:numId w:val="2"/>
        </w:numPr>
        <w:spacing w:after="40" w:before="40"/>
      </w:pPr>
      <w:r>
        <w:rPr>
          <w:rFonts w:ascii="Arial" w:cs="Arial" w:eastAsia="Arial" w:hAnsi="Arial"/>
          <w:color w:val="1a1a1a"/>
          <w:sz w:val="20"/>
          <w:szCs w:val="20"/>
        </w:rPr>
        <w:t xml:space="preserve">Revoke compromised API keys or credentials immediately via OpenBao</w:t>
      </w:r>
    </w:p>
    <w:p>
      <w:pPr>
        <w:pStyle w:val="ListParagraph"/>
        <w:numPr>
          <w:ilvl w:val="0"/>
          <w:numId w:val="2"/>
        </w:numPr>
        <w:spacing w:after="40" w:before="40"/>
      </w:pPr>
      <w:r>
        <w:rPr>
          <w:rFonts w:ascii="Arial" w:cs="Arial" w:eastAsia="Arial" w:hAnsi="Arial"/>
          <w:color w:val="1a1a1a"/>
          <w:sz w:val="20"/>
          <w:szCs w:val="20"/>
        </w:rPr>
        <w:t xml:space="preserve">Block malicious IP addresses at the Caddy gateway level</w:t>
      </w:r>
    </w:p>
    <w:p>
      <w:pPr>
        <w:pStyle w:val="ListParagraph"/>
        <w:numPr>
          <w:ilvl w:val="0"/>
          <w:numId w:val="2"/>
        </w:numPr>
        <w:spacing w:after="40" w:before="40"/>
      </w:pPr>
      <w:r>
        <w:rPr>
          <w:rFonts w:ascii="Arial" w:cs="Arial" w:eastAsia="Arial" w:hAnsi="Arial"/>
          <w:color w:val="1a1a1a"/>
          <w:sz w:val="20"/>
          <w:szCs w:val="20"/>
        </w:rPr>
        <w:t xml:space="preserve">Preserve evidence — take snapshots of logs and affected containers before remediation</w:t>
      </w:r>
    </w:p>
    <w:p>
      <w:pPr>
        <w:spacing w:after="80" w:before="200"/>
      </w:pPr>
      <w:r>
        <w:rPr>
          <w:rFonts w:ascii="Arial" w:cs="Arial" w:eastAsia="Arial" w:hAnsi="Arial"/>
          <w:b/>
          <w:bCs/>
          <w:color w:val="1A1A2E"/>
          <w:sz w:val="22"/>
          <w:szCs w:val="22"/>
        </w:rPr>
        <w:t xml:space="preserve">Phase 3 — Eradication</w:t>
      </w:r>
    </w:p>
    <w:p>
      <w:pPr>
        <w:pStyle w:val="ListParagraph"/>
        <w:numPr>
          <w:ilvl w:val="0"/>
          <w:numId w:val="2"/>
        </w:numPr>
        <w:spacing w:after="40" w:before="40"/>
      </w:pPr>
      <w:r>
        <w:rPr>
          <w:rFonts w:ascii="Arial" w:cs="Arial" w:eastAsia="Arial" w:hAnsi="Arial"/>
          <w:color w:val="1a1a1a"/>
          <w:sz w:val="20"/>
          <w:szCs w:val="20"/>
        </w:rPr>
        <w:t xml:space="preserve">Identify and remove the root cause of the incident</w:t>
      </w:r>
    </w:p>
    <w:p>
      <w:pPr>
        <w:pStyle w:val="ListParagraph"/>
        <w:numPr>
          <w:ilvl w:val="0"/>
          <w:numId w:val="2"/>
        </w:numPr>
        <w:spacing w:after="40" w:before="40"/>
      </w:pPr>
      <w:r>
        <w:rPr>
          <w:rFonts w:ascii="Arial" w:cs="Arial" w:eastAsia="Arial" w:hAnsi="Arial"/>
          <w:color w:val="1a1a1a"/>
          <w:sz w:val="20"/>
          <w:szCs w:val="20"/>
        </w:rPr>
        <w:t xml:space="preserve">Rotate all potentially compromised credentials</w:t>
      </w:r>
    </w:p>
    <w:p>
      <w:pPr>
        <w:pStyle w:val="ListParagraph"/>
        <w:numPr>
          <w:ilvl w:val="0"/>
          <w:numId w:val="2"/>
        </w:numPr>
        <w:spacing w:after="40" w:before="40"/>
      </w:pPr>
      <w:r>
        <w:rPr>
          <w:rFonts w:ascii="Arial" w:cs="Arial" w:eastAsia="Arial" w:hAnsi="Arial"/>
          <w:color w:val="1a1a1a"/>
          <w:sz w:val="20"/>
          <w:szCs w:val="20"/>
        </w:rPr>
        <w:t xml:space="preserve">Patch or update vulnerable components</w:t>
      </w:r>
    </w:p>
    <w:p>
      <w:pPr>
        <w:pStyle w:val="ListParagraph"/>
        <w:numPr>
          <w:ilvl w:val="0"/>
          <w:numId w:val="2"/>
        </w:numPr>
        <w:spacing w:after="40" w:before="40"/>
      </w:pPr>
      <w:r>
        <w:rPr>
          <w:rFonts w:ascii="Arial" w:cs="Arial" w:eastAsia="Arial" w:hAnsi="Arial"/>
          <w:color w:val="1a1a1a"/>
          <w:sz w:val="20"/>
          <w:szCs w:val="20"/>
        </w:rPr>
        <w:t xml:space="preserve">Verify no backdoors or persistence mechanisms remain</w:t>
      </w:r>
    </w:p>
    <w:p>
      <w:pPr>
        <w:spacing w:after="80" w:before="200"/>
      </w:pPr>
      <w:r>
        <w:rPr>
          <w:rFonts w:ascii="Arial" w:cs="Arial" w:eastAsia="Arial" w:hAnsi="Arial"/>
          <w:b/>
          <w:bCs/>
          <w:color w:val="1A1A2E"/>
          <w:sz w:val="22"/>
          <w:szCs w:val="22"/>
        </w:rPr>
        <w:t xml:space="preserve">Phase 4 — Recovery</w:t>
      </w:r>
    </w:p>
    <w:p>
      <w:pPr>
        <w:pStyle w:val="ListParagraph"/>
        <w:numPr>
          <w:ilvl w:val="0"/>
          <w:numId w:val="2"/>
        </w:numPr>
        <w:spacing w:after="40" w:before="40"/>
      </w:pPr>
      <w:r>
        <w:rPr>
          <w:rFonts w:ascii="Arial" w:cs="Arial" w:eastAsia="Arial" w:hAnsi="Arial"/>
          <w:color w:val="1a1a1a"/>
          <w:sz w:val="20"/>
          <w:szCs w:val="20"/>
        </w:rPr>
        <w:t xml:space="preserve">Restore services from clean backups if necessary</w:t>
      </w:r>
    </w:p>
    <w:p>
      <w:pPr>
        <w:pStyle w:val="ListParagraph"/>
        <w:numPr>
          <w:ilvl w:val="0"/>
          <w:numId w:val="2"/>
        </w:numPr>
        <w:spacing w:after="40" w:before="40"/>
      </w:pPr>
      <w:r>
        <w:rPr>
          <w:rFonts w:ascii="Arial" w:cs="Arial" w:eastAsia="Arial" w:hAnsi="Arial"/>
          <w:color w:val="1a1a1a"/>
          <w:sz w:val="20"/>
          <w:szCs w:val="20"/>
        </w:rPr>
        <w:t xml:space="preserve">Verify system integrity before returning to production</w:t>
      </w:r>
    </w:p>
    <w:p>
      <w:pPr>
        <w:pStyle w:val="ListParagraph"/>
        <w:numPr>
          <w:ilvl w:val="0"/>
          <w:numId w:val="2"/>
        </w:numPr>
        <w:spacing w:after="40" w:before="40"/>
      </w:pPr>
      <w:r>
        <w:rPr>
          <w:rFonts w:ascii="Arial" w:cs="Arial" w:eastAsia="Arial" w:hAnsi="Arial"/>
          <w:color w:val="1a1a1a"/>
          <w:sz w:val="20"/>
          <w:szCs w:val="20"/>
        </w:rPr>
        <w:t xml:space="preserve">Monitor closely for 48 hours post-recovery</w:t>
      </w:r>
    </w:p>
    <w:p>
      <w:pPr>
        <w:pStyle w:val="ListParagraph"/>
        <w:numPr>
          <w:ilvl w:val="0"/>
          <w:numId w:val="2"/>
        </w:numPr>
        <w:spacing w:after="40" w:before="40"/>
      </w:pPr>
      <w:r>
        <w:rPr>
          <w:rFonts w:ascii="Arial" w:cs="Arial" w:eastAsia="Arial" w:hAnsi="Arial"/>
          <w:color w:val="1a1a1a"/>
          <w:sz w:val="20"/>
          <w:szCs w:val="20"/>
        </w:rPr>
        <w:t xml:space="preserve">Communicate restoration to affected customers</w:t>
      </w:r>
    </w:p>
    <w:p>
      <w:pPr>
        <w:spacing w:after="80" w:before="200"/>
      </w:pPr>
      <w:r>
        <w:rPr>
          <w:rFonts w:ascii="Arial" w:cs="Arial" w:eastAsia="Arial" w:hAnsi="Arial"/>
          <w:b/>
          <w:bCs/>
          <w:color w:val="1A1A2E"/>
          <w:sz w:val="22"/>
          <w:szCs w:val="22"/>
        </w:rPr>
        <w:t xml:space="preserve">Phase 5 — Post-Incident Review</w:t>
      </w:r>
    </w:p>
    <w:p>
      <w:pPr>
        <w:pStyle w:val="ListParagraph"/>
        <w:numPr>
          <w:ilvl w:val="0"/>
          <w:numId w:val="2"/>
        </w:numPr>
        <w:spacing w:after="40" w:before="40"/>
      </w:pPr>
      <w:r>
        <w:rPr>
          <w:rFonts w:ascii="Arial" w:cs="Arial" w:eastAsia="Arial" w:hAnsi="Arial"/>
          <w:color w:val="1a1a1a"/>
          <w:sz w:val="20"/>
          <w:szCs w:val="20"/>
        </w:rPr>
        <w:t xml:space="preserve">Conduct a post-mortem within 5 business days of resolution</w:t>
      </w:r>
    </w:p>
    <w:p>
      <w:pPr>
        <w:pStyle w:val="ListParagraph"/>
        <w:numPr>
          <w:ilvl w:val="0"/>
          <w:numId w:val="2"/>
        </w:numPr>
        <w:spacing w:after="40" w:before="40"/>
      </w:pPr>
      <w:r>
        <w:rPr>
          <w:rFonts w:ascii="Arial" w:cs="Arial" w:eastAsia="Arial" w:hAnsi="Arial"/>
          <w:color w:val="1a1a1a"/>
          <w:sz w:val="20"/>
          <w:szCs w:val="20"/>
        </w:rPr>
        <w:t xml:space="preserve">Document timeline, root cause, impact, and remediation steps</w:t>
      </w:r>
    </w:p>
    <w:p>
      <w:pPr>
        <w:pStyle w:val="ListParagraph"/>
        <w:numPr>
          <w:ilvl w:val="0"/>
          <w:numId w:val="2"/>
        </w:numPr>
        <w:spacing w:after="40" w:before="40"/>
      </w:pPr>
      <w:r>
        <w:rPr>
          <w:rFonts w:ascii="Arial" w:cs="Arial" w:eastAsia="Arial" w:hAnsi="Arial"/>
          <w:color w:val="1a1a1a"/>
          <w:sz w:val="20"/>
          <w:szCs w:val="20"/>
        </w:rPr>
        <w:t xml:space="preserve">Identify preventive measures to avoid recurrence</w:t>
      </w:r>
    </w:p>
    <w:p>
      <w:pPr>
        <w:pStyle w:val="ListParagraph"/>
        <w:numPr>
          <w:ilvl w:val="0"/>
          <w:numId w:val="2"/>
        </w:numPr>
        <w:spacing w:after="40" w:before="40"/>
      </w:pPr>
      <w:r>
        <w:rPr>
          <w:rFonts w:ascii="Arial" w:cs="Arial" w:eastAsia="Arial" w:hAnsi="Arial"/>
          <w:color w:val="1a1a1a"/>
          <w:sz w:val="20"/>
          <w:szCs w:val="20"/>
        </w:rPr>
        <w:t xml:space="preserve">Update runbooks and policies as needed</w:t>
      </w:r>
    </w:p>
    <w:p>
      <w:pPr>
        <w:pBdr>
          <w:bottom w:val="single" w:color="B8860B" w:sz="6"/>
        </w:pBdr>
        <w:spacing w:after="120" w:before="360"/>
      </w:pPr>
      <w:r>
        <w:rPr>
          <w:rFonts w:ascii="Arial" w:cs="Arial" w:eastAsia="Arial" w:hAnsi="Arial"/>
          <w:b/>
          <w:bCs/>
          <w:color w:val="1A1A2E"/>
          <w:spacing w:val="40"/>
          <w:sz w:val="26"/>
          <w:szCs w:val="26"/>
        </w:rPr>
        <w:t xml:space="preserve">5. Data Breach Notification</w:t>
      </w:r>
    </w:p>
    <w:p>
      <w:pPr>
        <w:pStyle w:val="ListParagraph"/>
        <w:numPr>
          <w:ilvl w:val="0"/>
          <w:numId w:val="2"/>
        </w:numPr>
        <w:spacing w:after="40" w:before="40"/>
      </w:pPr>
      <w:r>
        <w:rPr>
          <w:rFonts w:ascii="Arial" w:cs="Arial" w:eastAsia="Arial" w:hAnsi="Arial"/>
          <w:color w:val="1a1a1a"/>
          <w:sz w:val="20"/>
          <w:szCs w:val="20"/>
        </w:rPr>
        <w:t xml:space="preserve">GDPR Article 33: notify supervisory authority within 72 hours of becoming aware of a breach</w:t>
      </w:r>
    </w:p>
    <w:p>
      <w:pPr>
        <w:pStyle w:val="ListParagraph"/>
        <w:numPr>
          <w:ilvl w:val="0"/>
          <w:numId w:val="2"/>
        </w:numPr>
        <w:spacing w:after="40" w:before="40"/>
      </w:pPr>
      <w:r>
        <w:rPr>
          <w:rFonts w:ascii="Arial" w:cs="Arial" w:eastAsia="Arial" w:hAnsi="Arial"/>
          <w:color w:val="1a1a1a"/>
          <w:sz w:val="20"/>
          <w:szCs w:val="20"/>
        </w:rPr>
        <w:t xml:space="preserve">GDPR Article 34: notify affected individuals without undue delay if high risk to their rights</w:t>
      </w:r>
    </w:p>
    <w:p>
      <w:pPr>
        <w:pStyle w:val="ListParagraph"/>
        <w:numPr>
          <w:ilvl w:val="0"/>
          <w:numId w:val="2"/>
        </w:numPr>
        <w:spacing w:after="40" w:before="40"/>
      </w:pPr>
      <w:r>
        <w:rPr>
          <w:rFonts w:ascii="Arial" w:cs="Arial" w:eastAsia="Arial" w:hAnsi="Arial"/>
          <w:color w:val="1a1a1a"/>
          <w:sz w:val="20"/>
          <w:szCs w:val="20"/>
        </w:rPr>
        <w:t xml:space="preserve">DPDPA 2023: notify Data Protection Board of India per applicable timelines</w:t>
      </w:r>
    </w:p>
    <w:p>
      <w:pPr>
        <w:pStyle w:val="ListParagraph"/>
        <w:numPr>
          <w:ilvl w:val="0"/>
          <w:numId w:val="2"/>
        </w:numPr>
        <w:spacing w:after="40" w:before="40"/>
      </w:pPr>
      <w:r>
        <w:rPr>
          <w:rFonts w:ascii="Arial" w:cs="Arial" w:eastAsia="Arial" w:hAnsi="Arial"/>
          <w:color w:val="1a1a1a"/>
          <w:sz w:val="20"/>
          <w:szCs w:val="20"/>
        </w:rPr>
        <w:t xml:space="preserve">Customer notification is sent via email to registered account email addresses</w:t>
      </w:r>
    </w:p>
    <w:p>
      <w:pPr>
        <w:pStyle w:val="ListParagraph"/>
        <w:numPr>
          <w:ilvl w:val="0"/>
          <w:numId w:val="2"/>
        </w:numPr>
        <w:spacing w:after="40" w:before="40"/>
      </w:pPr>
      <w:r>
        <w:rPr>
          <w:rFonts w:ascii="Arial" w:cs="Arial" w:eastAsia="Arial" w:hAnsi="Arial"/>
          <w:color w:val="1a1a1a"/>
          <w:sz w:val="20"/>
          <w:szCs w:val="20"/>
        </w:rPr>
        <w:t xml:space="preserve">Notification includes: nature of breach, data affected, steps taken, customer actions required</w:t>
      </w:r>
    </w:p>
    <w:p>
      <w:pPr>
        <w:pBdr>
          <w:bottom w:val="single" w:color="B8860B" w:sz="6"/>
        </w:pBdr>
        <w:spacing w:after="120" w:before="360"/>
      </w:pPr>
      <w:r>
        <w:rPr>
          <w:rFonts w:ascii="Arial" w:cs="Arial" w:eastAsia="Arial" w:hAnsi="Arial"/>
          <w:b/>
          <w:bCs/>
          <w:color w:val="1A1A2E"/>
          <w:spacing w:val="40"/>
          <w:sz w:val="26"/>
          <w:szCs w:val="26"/>
        </w:rPr>
        <w:t xml:space="preserve">6.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Incident Reports</w:t>
            </w:r>
          </w:p>
        </w:tc>
        <w:tc>
          <w:tcPr>
            <w:tcW w:type="dxa" w:w="6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support@decimeshi.com</w:t>
            </w:r>
          </w:p>
        </w:tc>
      </w:tr>
      <w:tr>
        <w:tc>
          <w:tcPr>
            <w:tcW w:type="dxa" w:w="300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b/>
                <w:bCs/>
                <w:color w:val="1a1a1a"/>
                <w:sz w:val="18"/>
                <w:szCs w:val="18"/>
              </w:rPr>
              <w:t xml:space="preserve">Director / Incident Commander</w:t>
            </w:r>
          </w:p>
        </w:tc>
        <w:tc>
          <w:tcPr>
            <w:tcW w:type="dxa" w:w="636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b w:val="false"/>
                <w:bCs w:val="false"/>
                <w:color w:val="1a1a1a"/>
                <w:sz w:val="18"/>
                <w:szCs w:val="18"/>
              </w:rPr>
              <w:t xml:space="preserve">Thirupala — thiru@decimeshi.com</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Mob</w:t>
            </w:r>
          </w:p>
        </w:tc>
        <w:tc>
          <w:tcPr>
            <w:tcW w:type="dxa" w:w="6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9100493877</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none" w:color="FFFFFF" w:sz="0"/>
              <w:bottom w:val="none" w:color="FFFFFF" w:sz="0"/>
              <w:right w:val="none" w:color="FFFFFF" w:sz="0"/>
            </w:tcBorders>
            <w:tcMar>
              <w:top w:type="dxa" w:w="200"/>
              <w:left w:type="dxa" w:w="0"/>
              <w:bottom w:type="dxa" w:w="200"/>
              <w:right w:type="dxa" w:w="0"/>
            </w:tcMar>
          </w:tcPr>
          <w:p>
            <w:pPr>
              <w:spacing w:after="60" w:before="0"/>
            </w:pPr>
            <w:r>
              <w:rPr>
                <w:rFonts w:ascii="Arial" w:cs="Arial" w:eastAsia="Arial" w:hAnsi="Arial"/>
                <w:b/>
                <w:bCs/>
                <w:color w:val="1A1A2E"/>
                <w:sz w:val="20"/>
                <w:szCs w:val="20"/>
              </w:rPr>
              <w:t xml:space="preserve">Approved by:</w:t>
            </w:r>
          </w:p>
          <w:p>
            <w:pPr>
              <w:spacing w:after="40" w:before="0"/>
            </w:pPr>
            <w:r>
              <w:rPr>
                <w:rFonts w:ascii="Arial" w:cs="Arial" w:eastAsia="Arial" w:hAnsi="Arial"/>
                <w:color w:val="1a1a1a"/>
                <w:sz w:val="20"/>
                <w:szCs w:val="20"/>
              </w:rPr>
              <w:t xml:space="preserve">Thirupala  |  Director, DECIMESHI (OPC) PRIVATE LIMITED</w:t>
            </w:r>
          </w:p>
          <w:p>
            <w:pPr>
              <w:spacing w:after="40" w:before="0"/>
            </w:pPr>
            <w:r>
              <w:rPr>
                <w:rFonts w:ascii="Arial" w:cs="Arial" w:eastAsia="Arial" w:hAnsi="Arial"/>
                <w:color w:val="666666"/>
                <w:sz w:val="20"/>
                <w:szCs w:val="20"/>
              </w:rPr>
              <w:t xml:space="preserve">Date: June 2026</w:t>
            </w:r>
          </w:p>
          <w:p>
            <w:pPr>
              <w:spacing w:after="0" w:before="0"/>
            </w:pPr>
            <w:r>
              <w:rPr>
                <w:rFonts w:ascii="Arial" w:cs="Arial" w:eastAsia="Arial" w:hAnsi="Arial"/>
                <w:color w:val="666666"/>
                <w:sz w:val="20"/>
                <w:szCs w:val="20"/>
              </w:rPr>
              <w:t xml:space="preserve">Next Review: June 2027</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2026-06-02T06:13:28.417Z</dcterms:created>
  <dcterms:modified xsi:type="dcterms:W3CDTF">2026-06-02T06:13:28.417Z</dcterms:modified>
</cp:coreProperties>
</file>

<file path=docProps/custom.xml><?xml version="1.0" encoding="utf-8"?>
<Properties xmlns="http://schemas.openxmlformats.org/officeDocument/2006/custom-properties" xmlns:vt="http://schemas.openxmlformats.org/officeDocument/2006/docPropsVTypes"/>
</file>