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DECIMESHI (OPC) PRIVATE LIMITED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color w:val="D4AF37"/>
                <w:sz w:val="36"/>
                <w:szCs w:val="36"/>
              </w:rPr>
              <w:t xml:space="preserve">Vendor Management Policy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Document ID: DM-POL-006  |  Version: 1.0  |  Effective: June 2026  |  Review: June 2027</w:t>
            </w:r>
          </w:p>
        </w:tc>
      </w:tr>
    </w:tbl>
    <w:p>
      <w:pPr>
        <w:spacing w:after="200" w:before="0"/>
      </w:pPr>
    </w:p>
    <w:p>
      <w:pPr>
        <w:pBdr>
          <w:bottom w:val="single" w:color="B8860B" w:sz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pacing w:val="40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Vendor Management Policy defines how DECIMESHI (OPC) PRIVATE LIMITED selects, assesses, and manages third-party vendors to ensure they meet security, privacy, and compliance requirements consistent with our obligations to customers.</w:t>
      </w:r>
    </w:p>
    <w:p>
      <w:pPr>
        <w:pBdr>
          <w:bottom w:val="single" w:color="B8860B" w:sz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pacing w:val="40"/>
          <w:sz w:val="26"/>
          <w:szCs w:val="26"/>
        </w:rPr>
        <w:t xml:space="preserve">2. Scope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policy applies to all third-party vendors, suppliers, and service providers who have access to DecisionMesh systems or customer data.</w:t>
      </w:r>
    </w:p>
    <w:p>
      <w:pPr>
        <w:pBdr>
          <w:bottom w:val="single" w:color="B8860B" w:sz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pacing w:val="40"/>
          <w:sz w:val="26"/>
          <w:szCs w:val="26"/>
        </w:rPr>
        <w:t xml:space="preserve">3. Current Vendors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Vendor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Access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Compliance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Hetzner Cloud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Infrastructure hosting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Infrastructure only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ISO 27001, GDPR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Zitadel (EU)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Identity &amp; authentication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identity data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GDPR, SOC 2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International payments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Payment data (PCI)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PCI DSS Level 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Razorpay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India payments (INR)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Payment data (PCI)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PCI DSS, RBI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OpenAI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LLM provider (BYOK)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 data (opt-in)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SOC 2 Type II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Anthropic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LLM provider (BYOK)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 data (opt-in)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SOC 2 Type II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(Gemini)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LLM provider (BYOK)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 data (opt-in)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ISO 27001, SOC 2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Cloudflare Pages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Frontend hosting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customer data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SOC 2, ISO 27001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GitHub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Source control / CI-CD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Source code only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SOC 2 Type II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UptimeRobot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Uptime monitoring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URL endpoints only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GDPR</w:t>
            </w:r>
          </w:p>
        </w:tc>
      </w:tr>
    </w:tbl>
    <w:p>
      <w:pPr>
        <w:pBdr>
          <w:bottom w:val="single" w:color="B8860B" w:sz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pacing w:val="40"/>
          <w:sz w:val="26"/>
          <w:szCs w:val="26"/>
        </w:rPr>
        <w:t xml:space="preserve">4. Vendor Assessment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new vendors are assessed for security compliance before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Vendors with access to customer data must provide evidence of SOC 2, ISO 27001, or equivalent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Payment vendors must be PCI DSS compliant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Vendors processing EU personal data must have GDPR-compliant data processing agreements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Annual reassessment is conducted for all critical vendors</w:t>
      </w:r>
    </w:p>
    <w:p>
      <w:pPr>
        <w:pBdr>
          <w:bottom w:val="single" w:color="B8860B" w:sz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pacing w:val="40"/>
          <w:sz w:val="26"/>
          <w:szCs w:val="26"/>
        </w:rPr>
        <w:t xml:space="preserve">5. Data Processing Agreements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 Processing Agreements (DPAs) are signed with all vendors processing personal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DPAs specify data processing purposes, retention, and deletion obligations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Sub-processor lists are maintained and updated when vendors change their sub-processors</w:t>
      </w:r>
    </w:p>
    <w:p>
      <w:pPr>
        <w:pBdr>
          <w:bottom w:val="single" w:color="B8860B" w:sz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pacing w:val="40"/>
          <w:sz w:val="26"/>
          <w:szCs w:val="26"/>
        </w:rPr>
        <w:t xml:space="preserve">6. AI Provider Governance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 providers (OpenAI, Anthropic, Gemini, DeepSeek) are accessed via BYOK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Customer prompts are sent directly to providers — DecisionMesh does not store prompt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Customers using BYOK manage their own provider agreements and data processing terms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Provider API keys are stored encrypted in OpenBao — never logged or exposed</w:t>
      </w:r>
    </w:p>
    <w:p>
      <w:pPr>
        <w:pBdr>
          <w:bottom w:val="single" w:color="B8860B" w:sz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pacing w:val="40"/>
          <w:sz w:val="26"/>
          <w:szCs w:val="26"/>
        </w:rPr>
        <w:t xml:space="preserve">7. Vendor Offboarding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Access credentials are revoked immediately upon vendor contract termination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 deletion confirmation is obtained from vendors within 30 days of termination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Vendor offboarding is documented in the vendor management register</w:t>
      </w:r>
    </w:p>
    <w:p>
      <w:pPr>
        <w:pBdr>
          <w:bottom w:val="single" w:color="B8860B" w:sz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pacing w:val="40"/>
          <w:sz w:val="26"/>
          <w:szCs w:val="26"/>
        </w:rPr>
        <w:t xml:space="preserve">8. Vendor Incidents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Vendor security incidents affecting DecisionMesh are treated as internal incidents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Vendors must notify DecisionMesh of security incidents within 24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DecisionMesh will notify affected customers if vendor incident exposes customer data</w:t>
      </w:r>
    </w:p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Approved by: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Thirupala  |  Director, DECIMESHI (OPC) PRIVATE LIMITED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Date: June 2026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Next Review: June 2027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2026-06-02T06:13:28.440Z</dcterms:created>
  <dcterms:modified xsi:type="dcterms:W3CDTF">2026-06-02T06:13:28.440Z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