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240"/>
              <w:left w:type="dxa" w:w="360"/>
              <w:bottom w:type="dxa" w:w="240"/>
              <w:right w:type="dxa" w:w="360"/>
            </w:tcMar>
          </w:tcPr>
          <w:p>
            <w:pPr>
              <w:spacing w:after="60" w:before="0"/>
            </w:pPr>
            <w:r>
              <w:rPr>
                <w:rFonts w:ascii="Arial" w:cs="Arial" w:eastAsia="Arial" w:hAnsi="Arial"/>
                <w:b/>
                <w:bCs/>
                <w:color w:val="FFFFFF"/>
                <w:sz w:val="28"/>
                <w:szCs w:val="28"/>
              </w:rPr>
              <w:t xml:space="preserve">DECIMESHI (OPC) PRIVATE LIMITED</w:t>
            </w:r>
          </w:p>
          <w:p>
            <w:pPr>
              <w:spacing w:after="60" w:before="0"/>
            </w:pPr>
            <w:r>
              <w:rPr>
                <w:rFonts w:ascii="Georgia" w:cs="Georgia" w:eastAsia="Georgia" w:hAnsi="Georgia"/>
                <w:b/>
                <w:bCs/>
                <w:color w:val="D4AF37"/>
                <w:sz w:val="36"/>
                <w:szCs w:val="36"/>
              </w:rPr>
              <w:t xml:space="preserve">Data Retention Policy</w:t>
            </w:r>
          </w:p>
          <w:p>
            <w:pPr>
              <w:spacing w:after="0" w:before="0"/>
            </w:pPr>
            <w:r>
              <w:rPr>
                <w:rFonts w:ascii="Arial" w:cs="Arial" w:eastAsia="Arial" w:hAnsi="Arial"/>
                <w:color w:val="AAAAAA"/>
                <w:sz w:val="17"/>
                <w:szCs w:val="17"/>
              </w:rPr>
              <w:t xml:space="preserve">Document ID: DM-POL-003  |  Version: 1.0  |  Effective: June 2026  |  Review: June 2027</w:t>
            </w:r>
          </w:p>
        </w:tc>
      </w:tr>
    </w:tbl>
    <w:p>
      <w:pPr>
        <w:spacing w:after="200" w:before="0"/>
      </w:pPr>
    </w:p>
    <w:p>
      <w:pPr>
        <w:pBdr>
          <w:bottom w:val="single" w:color="B8860B" w:sz="6"/>
        </w:pBdr>
        <w:spacing w:after="120" w:before="360"/>
      </w:pPr>
      <w:r>
        <w:rPr>
          <w:rFonts w:ascii="Arial" w:cs="Arial" w:eastAsia="Arial" w:hAnsi="Arial"/>
          <w:b/>
          <w:bCs/>
          <w:color w:val="1A1A2E"/>
          <w:spacing w:val="40"/>
          <w:sz w:val="26"/>
          <w:szCs w:val="26"/>
        </w:rPr>
        <w:t xml:space="preserve">1. Purpose</w:t>
      </w:r>
    </w:p>
    <w:p>
      <w:pPr>
        <w:spacing w:after="120" w:before="0"/>
      </w:pPr>
      <w:r>
        <w:rPr>
          <w:rFonts w:ascii="Arial" w:cs="Arial" w:eastAsia="Arial" w:hAnsi="Arial"/>
          <w:color w:val="1a1a1a"/>
          <w:sz w:val="20"/>
          <w:szCs w:val="20"/>
        </w:rPr>
        <w:t xml:space="preserve">This Data Retention Policy defines how long DECIMESHI (OPC) PRIVATE LIMITED ("DecisionMesh") retains personal and operational data collected through the DecisionMesh AI Control Plane platform. This policy ensures compliance with applicable data protection laws including the General Data Protection Regulation (GDPR), the Digital Personal Data Protection Act 2023 (DPDPA), and industry standards including SOC 2 Type II and the EU AI Act.</w:t>
      </w:r>
    </w:p>
    <w:p>
      <w:pPr>
        <w:pBdr>
          <w:bottom w:val="single" w:color="B8860B" w:sz="6"/>
        </w:pBdr>
        <w:spacing w:after="120" w:before="360"/>
      </w:pPr>
      <w:r>
        <w:rPr>
          <w:rFonts w:ascii="Arial" w:cs="Arial" w:eastAsia="Arial" w:hAnsi="Arial"/>
          <w:b/>
          <w:bCs/>
          <w:color w:val="1A1A2E"/>
          <w:spacing w:val="40"/>
          <w:sz w:val="26"/>
          <w:szCs w:val="26"/>
        </w:rPr>
        <w:t xml:space="preserve">2. Scope</w:t>
      </w:r>
    </w:p>
    <w:p>
      <w:pPr>
        <w:spacing w:after="120" w:before="0"/>
      </w:pPr>
      <w:r>
        <w:rPr>
          <w:rFonts w:ascii="Arial" w:cs="Arial" w:eastAsia="Arial" w:hAnsi="Arial"/>
          <w:color w:val="1a1a1a"/>
          <w:sz w:val="20"/>
          <w:szCs w:val="20"/>
        </w:rPr>
        <w:t xml:space="preserve">This policy applies to:</w:t>
      </w:r>
    </w:p>
    <w:p>
      <w:pPr>
        <w:pStyle w:val="ListParagraph"/>
        <w:numPr>
          <w:ilvl w:val="0"/>
          <w:numId w:val="2"/>
        </w:numPr>
        <w:spacing w:after="40" w:before="40"/>
      </w:pPr>
      <w:r>
        <w:rPr>
          <w:rFonts w:ascii="Arial" w:cs="Arial" w:eastAsia="Arial" w:hAnsi="Arial"/>
          <w:color w:val="1a1a1a"/>
          <w:sz w:val="20"/>
          <w:szCs w:val="20"/>
        </w:rPr>
        <w:t xml:space="preserve">All personal data processed by DecisionMesh on behalf of customers (data processors)</w:t>
      </w:r>
    </w:p>
    <w:p>
      <w:pPr>
        <w:pStyle w:val="ListParagraph"/>
        <w:numPr>
          <w:ilvl w:val="0"/>
          <w:numId w:val="2"/>
        </w:numPr>
        <w:spacing w:after="40" w:before="40"/>
      </w:pPr>
      <w:r>
        <w:rPr>
          <w:rFonts w:ascii="Arial" w:cs="Arial" w:eastAsia="Arial" w:hAnsi="Arial"/>
          <w:color w:val="1a1a1a"/>
          <w:sz w:val="20"/>
          <w:szCs w:val="20"/>
        </w:rPr>
        <w:t xml:space="preserve">All operational data generated by the DecisionMesh platform</w:t>
      </w:r>
    </w:p>
    <w:p>
      <w:pPr>
        <w:pStyle w:val="ListParagraph"/>
        <w:numPr>
          <w:ilvl w:val="0"/>
          <w:numId w:val="2"/>
        </w:numPr>
        <w:spacing w:after="40" w:before="40"/>
      </w:pPr>
      <w:r>
        <w:rPr>
          <w:rFonts w:ascii="Arial" w:cs="Arial" w:eastAsia="Arial" w:hAnsi="Arial"/>
          <w:color w:val="1a1a1a"/>
          <w:sz w:val="20"/>
          <w:szCs w:val="20"/>
        </w:rPr>
        <w:t xml:space="preserve">All employees, contractors, and third-party vendors who handle DecisionMesh data</w:t>
      </w:r>
    </w:p>
    <w:p>
      <w:pPr>
        <w:pStyle w:val="ListParagraph"/>
        <w:numPr>
          <w:ilvl w:val="0"/>
          <w:numId w:val="2"/>
        </w:numPr>
        <w:spacing w:after="40" w:before="40"/>
      </w:pPr>
      <w:r>
        <w:rPr>
          <w:rFonts w:ascii="Arial" w:cs="Arial" w:eastAsia="Arial" w:hAnsi="Arial"/>
          <w:color w:val="1a1a1a"/>
          <w:sz w:val="20"/>
          <w:szCs w:val="20"/>
        </w:rPr>
        <w:t xml:space="preserve">All environments — production, staging, and development</w:t>
      </w:r>
    </w:p>
    <w:p>
      <w:pPr>
        <w:pBdr>
          <w:bottom w:val="single" w:color="B8860B" w:sz="6"/>
        </w:pBdr>
        <w:spacing w:after="120" w:before="360"/>
      </w:pPr>
      <w:r>
        <w:rPr>
          <w:rFonts w:ascii="Arial" w:cs="Arial" w:eastAsia="Arial" w:hAnsi="Arial"/>
          <w:b/>
          <w:bCs/>
          <w:color w:val="1A1A2E"/>
          <w:spacing w:val="40"/>
          <w:sz w:val="26"/>
          <w:szCs w:val="26"/>
        </w:rPr>
        <w:t xml:space="preserve">3.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bCs/>
                <w:color w:val="1a1a1a"/>
                <w:sz w:val="18"/>
                <w:szCs w:val="18"/>
              </w:rPr>
              <w:t xml:space="preserve">Personal Data</w:t>
            </w:r>
          </w:p>
        </w:tc>
        <w:tc>
          <w:tcPr>
            <w:tcW w:type="dxa" w:w="69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Any information relating to an identified or identifiable natural person.</w:t>
            </w:r>
          </w:p>
        </w:tc>
      </w:tr>
      <w:tr>
        <w:tc>
          <w:tcPr>
            <w:tcW w:type="dxa" w:w="2400"/>
            <w:tcBorders>
              <w:top w:val="single" w:color="DDDDDD" w:sz="1"/>
              <w:left w:val="single" w:color="DDDDDD" w:sz="1"/>
              <w:bottom w:val="single" w:color="DDDDDD" w:sz="1"/>
              <w:right w:val="single" w:color="DDDDDD" w:sz="1"/>
            </w:tcBorders>
            <w:shd w:fill="F9F9F9" w:val="clear"/>
            <w:tcMar>
              <w:top w:type="dxa" w:w="70"/>
              <w:left w:type="dxa" w:w="100"/>
              <w:bottom w:type="dxa" w:w="70"/>
              <w:right w:type="dxa" w:w="100"/>
            </w:tcMar>
          </w:tcPr>
          <w:p>
            <w:r>
              <w:rPr>
                <w:rFonts w:ascii="Arial" w:cs="Arial" w:eastAsia="Arial" w:hAnsi="Arial"/>
                <w:b/>
                <w:bCs/>
                <w:color w:val="1a1a1a"/>
                <w:sz w:val="18"/>
                <w:szCs w:val="18"/>
              </w:rPr>
              <w:t xml:space="preserve">Retention Period</w:t>
            </w:r>
          </w:p>
        </w:tc>
        <w:tc>
          <w:tcPr>
            <w:tcW w:type="dxa" w:w="6960"/>
            <w:tcBorders>
              <w:top w:val="single" w:color="DDDDDD" w:sz="1"/>
              <w:left w:val="single" w:color="DDDDDD" w:sz="1"/>
              <w:bottom w:val="single" w:color="DDDDDD" w:sz="1"/>
              <w:right w:val="single" w:color="DDDDDD" w:sz="1"/>
            </w:tcBorders>
            <w:shd w:fill="F9F9F9" w:val="clear"/>
            <w:tcMar>
              <w:top w:type="dxa" w:w="70"/>
              <w:left w:type="dxa" w:w="100"/>
              <w:bottom w:type="dxa" w:w="70"/>
              <w:right w:type="dxa" w:w="100"/>
            </w:tcMar>
          </w:tcPr>
          <w:p>
            <w:r>
              <w:rPr>
                <w:rFonts w:ascii="Arial" w:cs="Arial" w:eastAsia="Arial" w:hAnsi="Arial"/>
                <w:b w:val="false"/>
                <w:bCs w:val="false"/>
                <w:color w:val="1a1a1a"/>
                <w:sz w:val="18"/>
                <w:szCs w:val="18"/>
              </w:rPr>
              <w:t xml:space="preserve">The defined period for which data is actively stored before deletion or anonymisation.</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bCs/>
                <w:color w:val="1a1a1a"/>
                <w:sz w:val="18"/>
                <w:szCs w:val="18"/>
              </w:rPr>
              <w:t xml:space="preserve">Anonymisation</w:t>
            </w:r>
          </w:p>
        </w:tc>
        <w:tc>
          <w:tcPr>
            <w:tcW w:type="dxa" w:w="69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Irreversible transformation of data so that individuals cannot be re-identified.</w:t>
            </w:r>
          </w:p>
        </w:tc>
      </w:tr>
      <w:tr>
        <w:tc>
          <w:tcPr>
            <w:tcW w:type="dxa" w:w="2400"/>
            <w:tcBorders>
              <w:top w:val="single" w:color="DDDDDD" w:sz="1"/>
              <w:left w:val="single" w:color="DDDDDD" w:sz="1"/>
              <w:bottom w:val="single" w:color="DDDDDD" w:sz="1"/>
              <w:right w:val="single" w:color="DDDDDD" w:sz="1"/>
            </w:tcBorders>
            <w:shd w:fill="F9F9F9" w:val="clear"/>
            <w:tcMar>
              <w:top w:type="dxa" w:w="70"/>
              <w:left w:type="dxa" w:w="100"/>
              <w:bottom w:type="dxa" w:w="70"/>
              <w:right w:type="dxa" w:w="100"/>
            </w:tcMar>
          </w:tcPr>
          <w:p>
            <w:r>
              <w:rPr>
                <w:rFonts w:ascii="Arial" w:cs="Arial" w:eastAsia="Arial" w:hAnsi="Arial"/>
                <w:b/>
                <w:bCs/>
                <w:color w:val="1a1a1a"/>
                <w:sz w:val="18"/>
                <w:szCs w:val="18"/>
              </w:rPr>
              <w:t xml:space="preserve">Erasure</w:t>
            </w:r>
          </w:p>
        </w:tc>
        <w:tc>
          <w:tcPr>
            <w:tcW w:type="dxa" w:w="6960"/>
            <w:tcBorders>
              <w:top w:val="single" w:color="DDDDDD" w:sz="1"/>
              <w:left w:val="single" w:color="DDDDDD" w:sz="1"/>
              <w:bottom w:val="single" w:color="DDDDDD" w:sz="1"/>
              <w:right w:val="single" w:color="DDDDDD" w:sz="1"/>
            </w:tcBorders>
            <w:shd w:fill="F9F9F9" w:val="clear"/>
            <w:tcMar>
              <w:top w:type="dxa" w:w="70"/>
              <w:left w:type="dxa" w:w="100"/>
              <w:bottom w:type="dxa" w:w="70"/>
              <w:right w:type="dxa" w:w="100"/>
            </w:tcMar>
          </w:tcPr>
          <w:p>
            <w:r>
              <w:rPr>
                <w:rFonts w:ascii="Arial" w:cs="Arial" w:eastAsia="Arial" w:hAnsi="Arial"/>
                <w:b w:val="false"/>
                <w:bCs w:val="false"/>
                <w:color w:val="1a1a1a"/>
                <w:sz w:val="18"/>
                <w:szCs w:val="18"/>
              </w:rPr>
              <w:t xml:space="preserve">Permanent deletion of data such that it cannot be recovered.</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bCs/>
                <w:color w:val="1a1a1a"/>
                <w:sz w:val="18"/>
                <w:szCs w:val="18"/>
              </w:rPr>
              <w:t xml:space="preserve">Audit Log</w:t>
            </w:r>
          </w:p>
        </w:tc>
        <w:tc>
          <w:tcPr>
            <w:tcW w:type="dxa" w:w="69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Immutable append-only record of all system events for compliance and forensics.</w:t>
            </w:r>
          </w:p>
        </w:tc>
      </w:tr>
    </w:tbl>
    <w:p>
      <w:pPr>
        <w:spacing w:after="0" w:before="0"/>
      </w:pPr>
    </w:p>
    <w:p>
      <w:pPr>
        <w:pBdr>
          <w:bottom w:val="single" w:color="B8860B" w:sz="6"/>
        </w:pBdr>
        <w:spacing w:after="120" w:before="360"/>
      </w:pPr>
      <w:r>
        <w:rPr>
          <w:rFonts w:ascii="Arial" w:cs="Arial" w:eastAsia="Arial" w:hAnsi="Arial"/>
          <w:b/>
          <w:bCs/>
          <w:color w:val="1A1A2E"/>
          <w:spacing w:val="40"/>
          <w:sz w:val="26"/>
          <w:szCs w:val="26"/>
        </w:rPr>
        <w:t xml:space="preserve">4. Data Retention Schedule</w:t>
      </w:r>
    </w:p>
    <w:p>
      <w:pPr>
        <w:spacing w:after="120" w:before="0"/>
      </w:pPr>
      <w:r>
        <w:rPr>
          <w:rFonts w:ascii="Arial" w:cs="Arial" w:eastAsia="Arial" w:hAnsi="Arial"/>
          <w:color w:val="1a1a1a"/>
          <w:sz w:val="20"/>
          <w:szCs w:val="20"/>
        </w:rPr>
        <w:t xml:space="preserve">The following retention periods apply to all data categories processed by DecisionMesh:</w:t>
      </w:r>
    </w:p>
    <w:p>
      <w:pPr>
        <w:spacing w:after="12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800"/>
        <w:gridCol w:w="2960"/>
      </w:tblGrid>
      <w:tr>
        <w:tc>
          <w:tcPr>
            <w:tcW w:type="dxa" w:w="220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Data Category</w:t>
            </w:r>
          </w:p>
        </w:tc>
        <w:tc>
          <w:tcPr>
            <w:tcW w:type="dxa" w:w="240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Tables</w:t>
            </w:r>
          </w:p>
        </w:tc>
        <w:tc>
          <w:tcPr>
            <w:tcW w:type="dxa" w:w="180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Retention Period</w:t>
            </w:r>
          </w:p>
        </w:tc>
        <w:tc>
          <w:tcPr>
            <w:tcW w:type="dxa" w:w="296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19"/>
                <w:szCs w:val="19"/>
              </w:rPr>
              <w:t xml:space="preserve">Legal Basis</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Audit Logs</w:t>
            </w:r>
          </w:p>
        </w:tc>
        <w:tc>
          <w:tcPr>
            <w:tcW w:type="dxa" w:w="24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audit_log, intent_events</w:t>
            </w:r>
          </w:p>
        </w:tc>
        <w:tc>
          <w:tcPr>
            <w:tcW w:type="dxa" w:w="18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7 years</w:t>
            </w:r>
          </w:p>
        </w:tc>
        <w:tc>
          <w:tcPr>
            <w:tcW w:type="dxa" w:w="29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SOC 2 CC7.2, Legal obligation</w:t>
            </w:r>
          </w:p>
        </w:tc>
      </w:tr>
      <w:tr>
        <w:tc>
          <w:tcPr>
            <w:tcW w:type="dxa" w:w="2200"/>
            <w:tcBorders>
              <w:top w:val="single" w:color="DDDDDD" w:sz="1"/>
              <w:left w:val="single" w:color="DDDDDD" w:sz="1"/>
              <w:bottom w:val="single" w:color="DDDDDD" w:sz="1"/>
              <w:right w:val="single" w:color="DDDDDD" w:sz="1"/>
            </w:tcBorders>
            <w:shd w:fill="F9F9F9" w:val="clear"/>
            <w:tcMar>
              <w:top w:type="dxa" w:w="70"/>
              <w:left w:type="dxa" w:w="100"/>
              <w:bottom w:type="dxa" w:w="70"/>
              <w:right w:type="dxa" w:w="100"/>
            </w:tcMar>
          </w:tcPr>
          <w:p>
            <w:r>
              <w:rPr>
                <w:rFonts w:ascii="Arial" w:cs="Arial" w:eastAsia="Arial" w:hAnsi="Arial"/>
                <w:color w:val="1a1a1a"/>
                <w:sz w:val="18"/>
                <w:szCs w:val="18"/>
              </w:rPr>
              <w:t xml:space="preserve">Financial Records</w:t>
            </w:r>
          </w:p>
        </w:tc>
        <w:tc>
          <w:tcPr>
            <w:tcW w:type="dxa" w:w="2400"/>
            <w:tcBorders>
              <w:top w:val="single" w:color="DDDDDD" w:sz="1"/>
              <w:left w:val="single" w:color="DDDDDD" w:sz="1"/>
              <w:bottom w:val="single" w:color="DDDDDD" w:sz="1"/>
              <w:right w:val="single" w:color="DDDDDD" w:sz="1"/>
            </w:tcBorders>
            <w:shd w:fill="F9F9F9" w:val="clear"/>
            <w:tcMar>
              <w:top w:type="dxa" w:w="70"/>
              <w:left w:type="dxa" w:w="100"/>
              <w:bottom w:type="dxa" w:w="70"/>
              <w:right w:type="dxa" w:w="100"/>
            </w:tcMar>
          </w:tcPr>
          <w:p>
            <w:r>
              <w:rPr>
                <w:rFonts w:ascii="Arial" w:cs="Arial" w:eastAsia="Arial" w:hAnsi="Arial"/>
                <w:color w:val="1a1a1a"/>
                <w:sz w:val="18"/>
                <w:szCs w:val="18"/>
              </w:rPr>
              <w:t xml:space="preserve">spend_records, credit_ledger, subscription</w:t>
            </w:r>
          </w:p>
        </w:tc>
        <w:tc>
          <w:tcPr>
            <w:tcW w:type="dxa" w:w="1800"/>
            <w:tcBorders>
              <w:top w:val="single" w:color="DDDDDD" w:sz="1"/>
              <w:left w:val="single" w:color="DDDDDD" w:sz="1"/>
              <w:bottom w:val="single" w:color="DDDDDD" w:sz="1"/>
              <w:right w:val="single" w:color="DDDDDD" w:sz="1"/>
            </w:tcBorders>
            <w:shd w:fill="F9F9F9" w:val="clear"/>
            <w:tcMar>
              <w:top w:type="dxa" w:w="70"/>
              <w:left w:type="dxa" w:w="100"/>
              <w:bottom w:type="dxa" w:w="70"/>
              <w:right w:type="dxa" w:w="100"/>
            </w:tcMar>
          </w:tcPr>
          <w:p>
            <w:r>
              <w:rPr>
                <w:rFonts w:ascii="Arial" w:cs="Arial" w:eastAsia="Arial" w:hAnsi="Arial"/>
                <w:color w:val="1a1a1a"/>
                <w:sz w:val="18"/>
                <w:szCs w:val="18"/>
              </w:rPr>
              <w:t xml:space="preserve">7 years</w:t>
            </w:r>
          </w:p>
        </w:tc>
        <w:tc>
          <w:tcPr>
            <w:tcW w:type="dxa" w:w="2960"/>
            <w:tcBorders>
              <w:top w:val="single" w:color="DDDDDD" w:sz="1"/>
              <w:left w:val="single" w:color="DDDDDD" w:sz="1"/>
              <w:bottom w:val="single" w:color="DDDDDD" w:sz="1"/>
              <w:right w:val="single" w:color="DDDDDD" w:sz="1"/>
            </w:tcBorders>
            <w:shd w:fill="F9F9F9" w:val="clear"/>
            <w:tcMar>
              <w:top w:type="dxa" w:w="70"/>
              <w:left w:type="dxa" w:w="100"/>
              <w:bottom w:type="dxa" w:w="70"/>
              <w:right w:type="dxa" w:w="100"/>
            </w:tcMar>
          </w:tcPr>
          <w:p>
            <w:r>
              <w:rPr>
                <w:rFonts w:ascii="Arial" w:cs="Arial" w:eastAsia="Arial" w:hAnsi="Arial"/>
                <w:color w:val="1a1a1a"/>
                <w:sz w:val="18"/>
                <w:szCs w:val="18"/>
              </w:rPr>
              <w:t xml:space="preserve">Indian Companies Act 2013, GST Act</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Intent &amp; Execution Data</w:t>
            </w:r>
          </w:p>
        </w:tc>
        <w:tc>
          <w:tcPr>
            <w:tcW w:type="dxa" w:w="24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intents, execution_records, intent_plans</w:t>
            </w:r>
          </w:p>
        </w:tc>
        <w:tc>
          <w:tcPr>
            <w:tcW w:type="dxa" w:w="18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2 years</w:t>
            </w:r>
          </w:p>
        </w:tc>
        <w:tc>
          <w:tcPr>
            <w:tcW w:type="dxa" w:w="29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Legitimate interest — debugging, analytics</w:t>
            </w:r>
          </w:p>
        </w:tc>
      </w:tr>
      <w:tr>
        <w:tc>
          <w:tcPr>
            <w:tcW w:type="dxa" w:w="2200"/>
            <w:tcBorders>
              <w:top w:val="single" w:color="DDDDDD" w:sz="1"/>
              <w:left w:val="single" w:color="DDDDDD" w:sz="1"/>
              <w:bottom w:val="single" w:color="DDDDDD" w:sz="1"/>
              <w:right w:val="single" w:color="DDDDDD" w:sz="1"/>
            </w:tcBorders>
            <w:shd w:fill="F9F9F9" w:val="clear"/>
            <w:tcMar>
              <w:top w:type="dxa" w:w="70"/>
              <w:left w:type="dxa" w:w="100"/>
              <w:bottom w:type="dxa" w:w="70"/>
              <w:right w:type="dxa" w:w="100"/>
            </w:tcMar>
          </w:tcPr>
          <w:p>
            <w:r>
              <w:rPr>
                <w:rFonts w:ascii="Arial" w:cs="Arial" w:eastAsia="Arial" w:hAnsi="Arial"/>
                <w:color w:val="1a1a1a"/>
                <w:sz w:val="18"/>
                <w:szCs w:val="18"/>
              </w:rPr>
              <w:t xml:space="preserve">Policy Evaluations</w:t>
            </w:r>
          </w:p>
        </w:tc>
        <w:tc>
          <w:tcPr>
            <w:tcW w:type="dxa" w:w="2400"/>
            <w:tcBorders>
              <w:top w:val="single" w:color="DDDDDD" w:sz="1"/>
              <w:left w:val="single" w:color="DDDDDD" w:sz="1"/>
              <w:bottom w:val="single" w:color="DDDDDD" w:sz="1"/>
              <w:right w:val="single" w:color="DDDDDD" w:sz="1"/>
            </w:tcBorders>
            <w:shd w:fill="F9F9F9" w:val="clear"/>
            <w:tcMar>
              <w:top w:type="dxa" w:w="70"/>
              <w:left w:type="dxa" w:w="100"/>
              <w:bottom w:type="dxa" w:w="70"/>
              <w:right w:type="dxa" w:w="100"/>
            </w:tcMar>
          </w:tcPr>
          <w:p>
            <w:r>
              <w:rPr>
                <w:rFonts w:ascii="Arial" w:cs="Arial" w:eastAsia="Arial" w:hAnsi="Arial"/>
                <w:color w:val="1a1a1a"/>
                <w:sz w:val="18"/>
                <w:szCs w:val="18"/>
              </w:rPr>
              <w:t xml:space="preserve">policy_evaluations, policies</w:t>
            </w:r>
          </w:p>
        </w:tc>
        <w:tc>
          <w:tcPr>
            <w:tcW w:type="dxa" w:w="1800"/>
            <w:tcBorders>
              <w:top w:val="single" w:color="DDDDDD" w:sz="1"/>
              <w:left w:val="single" w:color="DDDDDD" w:sz="1"/>
              <w:bottom w:val="single" w:color="DDDDDD" w:sz="1"/>
              <w:right w:val="single" w:color="DDDDDD" w:sz="1"/>
            </w:tcBorders>
            <w:shd w:fill="F9F9F9" w:val="clear"/>
            <w:tcMar>
              <w:top w:type="dxa" w:w="70"/>
              <w:left w:type="dxa" w:w="100"/>
              <w:bottom w:type="dxa" w:w="70"/>
              <w:right w:type="dxa" w:w="100"/>
            </w:tcMar>
          </w:tcPr>
          <w:p>
            <w:r>
              <w:rPr>
                <w:rFonts w:ascii="Arial" w:cs="Arial" w:eastAsia="Arial" w:hAnsi="Arial"/>
                <w:color w:val="1a1a1a"/>
                <w:sz w:val="18"/>
                <w:szCs w:val="18"/>
              </w:rPr>
              <w:t xml:space="preserve">2 years</w:t>
            </w:r>
          </w:p>
        </w:tc>
        <w:tc>
          <w:tcPr>
            <w:tcW w:type="dxa" w:w="2960"/>
            <w:tcBorders>
              <w:top w:val="single" w:color="DDDDDD" w:sz="1"/>
              <w:left w:val="single" w:color="DDDDDD" w:sz="1"/>
              <w:bottom w:val="single" w:color="DDDDDD" w:sz="1"/>
              <w:right w:val="single" w:color="DDDDDD" w:sz="1"/>
            </w:tcBorders>
            <w:shd w:fill="F9F9F9" w:val="clear"/>
            <w:tcMar>
              <w:top w:type="dxa" w:w="70"/>
              <w:left w:type="dxa" w:w="100"/>
              <w:bottom w:type="dxa" w:w="70"/>
              <w:right w:type="dxa" w:w="100"/>
            </w:tcMar>
          </w:tcPr>
          <w:p>
            <w:r>
              <w:rPr>
                <w:rFonts w:ascii="Arial" w:cs="Arial" w:eastAsia="Arial" w:hAnsi="Arial"/>
                <w:color w:val="1a1a1a"/>
                <w:sz w:val="18"/>
                <w:szCs w:val="18"/>
              </w:rPr>
              <w:t xml:space="preserve">EU AI Act Art. 12 — traceability</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Drift Evaluations</w:t>
            </w:r>
          </w:p>
        </w:tc>
        <w:tc>
          <w:tcPr>
            <w:tcW w:type="dxa" w:w="24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intent_drift_evaluations</w:t>
            </w:r>
          </w:p>
        </w:tc>
        <w:tc>
          <w:tcPr>
            <w:tcW w:type="dxa" w:w="18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1 year</w:t>
            </w:r>
          </w:p>
        </w:tc>
        <w:tc>
          <w:tcPr>
            <w:tcW w:type="dxa" w:w="29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Legitimate interest — model monitoring</w:t>
            </w:r>
          </w:p>
        </w:tc>
      </w:tr>
      <w:tr>
        <w:tc>
          <w:tcPr>
            <w:tcW w:type="dxa" w:w="2200"/>
            <w:tcBorders>
              <w:top w:val="single" w:color="DDDDDD" w:sz="1"/>
              <w:left w:val="single" w:color="DDDDDD" w:sz="1"/>
              <w:bottom w:val="single" w:color="DDDDDD" w:sz="1"/>
              <w:right w:val="single" w:color="DDDDDD" w:sz="1"/>
            </w:tcBorders>
            <w:shd w:fill="F9F9F9" w:val="clear"/>
            <w:tcMar>
              <w:top w:type="dxa" w:w="70"/>
              <w:left w:type="dxa" w:w="100"/>
              <w:bottom w:type="dxa" w:w="70"/>
              <w:right w:type="dxa" w:w="100"/>
            </w:tcMar>
          </w:tcPr>
          <w:p>
            <w:r>
              <w:rPr>
                <w:rFonts w:ascii="Arial" w:cs="Arial" w:eastAsia="Arial" w:hAnsi="Arial"/>
                <w:color w:val="1a1a1a"/>
                <w:sz w:val="18"/>
                <w:szCs w:val="18"/>
              </w:rPr>
              <w:t xml:space="preserve">API Keys (revoked)</w:t>
            </w:r>
          </w:p>
        </w:tc>
        <w:tc>
          <w:tcPr>
            <w:tcW w:type="dxa" w:w="2400"/>
            <w:tcBorders>
              <w:top w:val="single" w:color="DDDDDD" w:sz="1"/>
              <w:left w:val="single" w:color="DDDDDD" w:sz="1"/>
              <w:bottom w:val="single" w:color="DDDDDD" w:sz="1"/>
              <w:right w:val="single" w:color="DDDDDD" w:sz="1"/>
            </w:tcBorders>
            <w:shd w:fill="F9F9F9" w:val="clear"/>
            <w:tcMar>
              <w:top w:type="dxa" w:w="70"/>
              <w:left w:type="dxa" w:w="100"/>
              <w:bottom w:type="dxa" w:w="70"/>
              <w:right w:type="dxa" w:w="100"/>
            </w:tcMar>
          </w:tcPr>
          <w:p>
            <w:r>
              <w:rPr>
                <w:rFonts w:ascii="Arial" w:cs="Arial" w:eastAsia="Arial" w:hAnsi="Arial"/>
                <w:color w:val="1a1a1a"/>
                <w:sz w:val="18"/>
                <w:szCs w:val="18"/>
              </w:rPr>
              <w:t xml:space="preserve">api_keys WHERE revoked_at IS NOT NULL</w:t>
            </w:r>
          </w:p>
        </w:tc>
        <w:tc>
          <w:tcPr>
            <w:tcW w:type="dxa" w:w="1800"/>
            <w:tcBorders>
              <w:top w:val="single" w:color="DDDDDD" w:sz="1"/>
              <w:left w:val="single" w:color="DDDDDD" w:sz="1"/>
              <w:bottom w:val="single" w:color="DDDDDD" w:sz="1"/>
              <w:right w:val="single" w:color="DDDDDD" w:sz="1"/>
            </w:tcBorders>
            <w:shd w:fill="F9F9F9" w:val="clear"/>
            <w:tcMar>
              <w:top w:type="dxa" w:w="70"/>
              <w:left w:type="dxa" w:w="100"/>
              <w:bottom w:type="dxa" w:w="70"/>
              <w:right w:type="dxa" w:w="100"/>
            </w:tcMar>
          </w:tcPr>
          <w:p>
            <w:r>
              <w:rPr>
                <w:rFonts w:ascii="Arial" w:cs="Arial" w:eastAsia="Arial" w:hAnsi="Arial"/>
                <w:color w:val="1a1a1a"/>
                <w:sz w:val="18"/>
                <w:szCs w:val="18"/>
              </w:rPr>
              <w:t xml:space="preserve">90 days</w:t>
            </w:r>
          </w:p>
        </w:tc>
        <w:tc>
          <w:tcPr>
            <w:tcW w:type="dxa" w:w="2960"/>
            <w:tcBorders>
              <w:top w:val="single" w:color="DDDDDD" w:sz="1"/>
              <w:left w:val="single" w:color="DDDDDD" w:sz="1"/>
              <w:bottom w:val="single" w:color="DDDDDD" w:sz="1"/>
              <w:right w:val="single" w:color="DDDDDD" w:sz="1"/>
            </w:tcBorders>
            <w:shd w:fill="F9F9F9" w:val="clear"/>
            <w:tcMar>
              <w:top w:type="dxa" w:w="70"/>
              <w:left w:type="dxa" w:w="100"/>
              <w:bottom w:type="dxa" w:w="70"/>
              <w:right w:type="dxa" w:w="100"/>
            </w:tcMar>
          </w:tcPr>
          <w:p>
            <w:r>
              <w:rPr>
                <w:rFonts w:ascii="Arial" w:cs="Arial" w:eastAsia="Arial" w:hAnsi="Arial"/>
                <w:color w:val="1a1a1a"/>
                <w:sz w:val="18"/>
                <w:szCs w:val="18"/>
              </w:rPr>
              <w:t xml:space="preserve">Security — incident investigation</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Expired Invitations</w:t>
            </w:r>
          </w:p>
        </w:tc>
        <w:tc>
          <w:tcPr>
            <w:tcW w:type="dxa" w:w="24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invitations WHERE status = EXPIRED</w:t>
            </w:r>
          </w:p>
        </w:tc>
        <w:tc>
          <w:tcPr>
            <w:tcW w:type="dxa" w:w="18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30 days</w:t>
            </w:r>
          </w:p>
        </w:tc>
        <w:tc>
          <w:tcPr>
            <w:tcW w:type="dxa" w:w="29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Data minimisation — GDPR Art. 5</w:t>
            </w:r>
          </w:p>
        </w:tc>
      </w:tr>
      <w:tr>
        <w:tc>
          <w:tcPr>
            <w:tcW w:type="dxa" w:w="2200"/>
            <w:tcBorders>
              <w:top w:val="single" w:color="DDDDDD" w:sz="1"/>
              <w:left w:val="single" w:color="DDDDDD" w:sz="1"/>
              <w:bottom w:val="single" w:color="DDDDDD" w:sz="1"/>
              <w:right w:val="single" w:color="DDDDDD" w:sz="1"/>
            </w:tcBorders>
            <w:shd w:fill="F9F9F9" w:val="clear"/>
            <w:tcMar>
              <w:top w:type="dxa" w:w="70"/>
              <w:left w:type="dxa" w:w="100"/>
              <w:bottom w:type="dxa" w:w="70"/>
              <w:right w:type="dxa" w:w="100"/>
            </w:tcMar>
          </w:tcPr>
          <w:p>
            <w:r>
              <w:rPr>
                <w:rFonts w:ascii="Arial" w:cs="Arial" w:eastAsia="Arial" w:hAnsi="Arial"/>
                <w:color w:val="1a1a1a"/>
                <w:sz w:val="18"/>
                <w:szCs w:val="18"/>
              </w:rPr>
              <w:t xml:space="preserve">User &amp; Tenant Data</w:t>
            </w:r>
          </w:p>
        </w:tc>
        <w:tc>
          <w:tcPr>
            <w:tcW w:type="dxa" w:w="2400"/>
            <w:tcBorders>
              <w:top w:val="single" w:color="DDDDDD" w:sz="1"/>
              <w:left w:val="single" w:color="DDDDDD" w:sz="1"/>
              <w:bottom w:val="single" w:color="DDDDDD" w:sz="1"/>
              <w:right w:val="single" w:color="DDDDDD" w:sz="1"/>
            </w:tcBorders>
            <w:shd w:fill="F9F9F9" w:val="clear"/>
            <w:tcMar>
              <w:top w:type="dxa" w:w="70"/>
              <w:left w:type="dxa" w:w="100"/>
              <w:bottom w:type="dxa" w:w="70"/>
              <w:right w:type="dxa" w:w="100"/>
            </w:tcMar>
          </w:tcPr>
          <w:p>
            <w:r>
              <w:rPr>
                <w:rFonts w:ascii="Arial" w:cs="Arial" w:eastAsia="Arial" w:hAnsi="Arial"/>
                <w:color w:val="1a1a1a"/>
                <w:sz w:val="18"/>
                <w:szCs w:val="18"/>
              </w:rPr>
              <w:t xml:space="preserve">users, tenants, organizations</w:t>
            </w:r>
          </w:p>
        </w:tc>
        <w:tc>
          <w:tcPr>
            <w:tcW w:type="dxa" w:w="1800"/>
            <w:tcBorders>
              <w:top w:val="single" w:color="DDDDDD" w:sz="1"/>
              <w:left w:val="single" w:color="DDDDDD" w:sz="1"/>
              <w:bottom w:val="single" w:color="DDDDDD" w:sz="1"/>
              <w:right w:val="single" w:color="DDDDDD" w:sz="1"/>
            </w:tcBorders>
            <w:shd w:fill="F9F9F9" w:val="clear"/>
            <w:tcMar>
              <w:top w:type="dxa" w:w="70"/>
              <w:left w:type="dxa" w:w="100"/>
              <w:bottom w:type="dxa" w:w="70"/>
              <w:right w:type="dxa" w:w="100"/>
            </w:tcMar>
          </w:tcPr>
          <w:p>
            <w:r>
              <w:rPr>
                <w:rFonts w:ascii="Arial" w:cs="Arial" w:eastAsia="Arial" w:hAnsi="Arial"/>
                <w:color w:val="1a1a1a"/>
                <w:sz w:val="18"/>
                <w:szCs w:val="18"/>
              </w:rPr>
              <w:t xml:space="preserve">Until erasure request</w:t>
            </w:r>
          </w:p>
        </w:tc>
        <w:tc>
          <w:tcPr>
            <w:tcW w:type="dxa" w:w="2960"/>
            <w:tcBorders>
              <w:top w:val="single" w:color="DDDDDD" w:sz="1"/>
              <w:left w:val="single" w:color="DDDDDD" w:sz="1"/>
              <w:bottom w:val="single" w:color="DDDDDD" w:sz="1"/>
              <w:right w:val="single" w:color="DDDDDD" w:sz="1"/>
            </w:tcBorders>
            <w:shd w:fill="F9F9F9" w:val="clear"/>
            <w:tcMar>
              <w:top w:type="dxa" w:w="70"/>
              <w:left w:type="dxa" w:w="100"/>
              <w:bottom w:type="dxa" w:w="70"/>
              <w:right w:type="dxa" w:w="100"/>
            </w:tcMar>
          </w:tcPr>
          <w:p>
            <w:r>
              <w:rPr>
                <w:rFonts w:ascii="Arial" w:cs="Arial" w:eastAsia="Arial" w:hAnsi="Arial"/>
                <w:color w:val="1a1a1a"/>
                <w:sz w:val="18"/>
                <w:szCs w:val="18"/>
              </w:rPr>
              <w:t xml:space="preserve">Contract performance — GDPR Art. 6</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Backups</w:t>
            </w:r>
          </w:p>
        </w:tc>
        <w:tc>
          <w:tcPr>
            <w:tcW w:type="dxa" w:w="24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PostgreSQL snapshots</w:t>
            </w:r>
          </w:p>
        </w:tc>
        <w:tc>
          <w:tcPr>
            <w:tcW w:type="dxa" w:w="18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30 days rolling</w:t>
            </w:r>
          </w:p>
        </w:tc>
        <w:tc>
          <w:tcPr>
            <w:tcW w:type="dxa" w:w="29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color w:val="1a1a1a"/>
                <w:sz w:val="18"/>
                <w:szCs w:val="18"/>
              </w:rPr>
              <w:t xml:space="preserve">Business continuity</w:t>
            </w:r>
          </w:p>
        </w:tc>
      </w:tr>
    </w:tbl>
    <w:p>
      <w:pPr>
        <w:spacing w:after="0" w:before="0"/>
      </w:pPr>
    </w:p>
    <w:p>
      <w:pPr>
        <w:pBdr>
          <w:bottom w:val="single" w:color="B8860B" w:sz="6"/>
        </w:pBdr>
        <w:spacing w:after="120" w:before="360"/>
      </w:pPr>
      <w:r>
        <w:rPr>
          <w:rFonts w:ascii="Arial" w:cs="Arial" w:eastAsia="Arial" w:hAnsi="Arial"/>
          <w:b/>
          <w:bCs/>
          <w:color w:val="1A1A2E"/>
          <w:spacing w:val="40"/>
          <w:sz w:val="26"/>
          <w:szCs w:val="26"/>
        </w:rPr>
        <w:t xml:space="preserve">5. Automated Enforcement</w:t>
      </w:r>
    </w:p>
    <w:p>
      <w:pPr>
        <w:spacing w:after="120" w:before="0"/>
      </w:pPr>
      <w:r>
        <w:rPr>
          <w:rFonts w:ascii="Arial" w:cs="Arial" w:eastAsia="Arial" w:hAnsi="Arial"/>
          <w:color w:val="1a1a1a"/>
          <w:sz w:val="20"/>
          <w:szCs w:val="20"/>
        </w:rPr>
        <w:t xml:space="preserve">DecisionMesh enforces this policy through automated scheduled jobs running in the backend:</w:t>
      </w:r>
    </w:p>
    <w:p>
      <w:pPr>
        <w:pStyle w:val="ListParagraph"/>
        <w:numPr>
          <w:ilvl w:val="0"/>
          <w:numId w:val="2"/>
        </w:numPr>
        <w:spacing w:after="40" w:before="40"/>
      </w:pPr>
      <w:r>
        <w:rPr>
          <w:rFonts w:ascii="Arial" w:cs="Arial" w:eastAsia="Arial" w:hAnsi="Arial"/>
          <w:color w:val="1a1a1a"/>
          <w:sz w:val="20"/>
          <w:szCs w:val="20"/>
        </w:rPr>
        <w:t xml:space="preserve">A nightly cleanup job (02:00 UTC) purges records that have exceeded their retention period</w:t>
      </w:r>
    </w:p>
    <w:p>
      <w:pPr>
        <w:pStyle w:val="ListParagraph"/>
        <w:numPr>
          <w:ilvl w:val="0"/>
          <w:numId w:val="2"/>
        </w:numPr>
        <w:spacing w:after="40" w:before="40"/>
      </w:pPr>
      <w:r>
        <w:rPr>
          <w:rFonts w:ascii="Arial" w:cs="Arial" w:eastAsia="Arial" w:hAnsi="Arial"/>
          <w:color w:val="1a1a1a"/>
          <w:sz w:val="20"/>
          <w:szCs w:val="20"/>
        </w:rPr>
        <w:t xml:space="preserve">Audit logs and financial records are never automatically deleted — manual review required</w:t>
      </w:r>
    </w:p>
    <w:p>
      <w:pPr>
        <w:pStyle w:val="ListParagraph"/>
        <w:numPr>
          <w:ilvl w:val="0"/>
          <w:numId w:val="2"/>
        </w:numPr>
        <w:spacing w:after="40" w:before="40"/>
      </w:pPr>
      <w:r>
        <w:rPr>
          <w:rFonts w:ascii="Arial" w:cs="Arial" w:eastAsia="Arial" w:hAnsi="Arial"/>
          <w:color w:val="1a1a1a"/>
          <w:sz w:val="20"/>
          <w:szCs w:val="20"/>
        </w:rPr>
        <w:t xml:space="preserve">Anonymisation is applied to immutable tables (audit_log, intent_events) instead of deletion</w:t>
      </w:r>
    </w:p>
    <w:p>
      <w:pPr>
        <w:pStyle w:val="ListParagraph"/>
        <w:numPr>
          <w:ilvl w:val="0"/>
          <w:numId w:val="2"/>
        </w:numPr>
        <w:spacing w:after="40" w:before="40"/>
      </w:pPr>
      <w:r>
        <w:rPr>
          <w:rFonts w:ascii="Arial" w:cs="Arial" w:eastAsia="Arial" w:hAnsi="Arial"/>
          <w:color w:val="1a1a1a"/>
          <w:sz w:val="20"/>
          <w:szCs w:val="20"/>
        </w:rPr>
        <w:t xml:space="preserve">All deletions are logged in a system_audit table with timestamp, table, and row count</w:t>
      </w:r>
    </w:p>
    <w:p>
      <w:pPr>
        <w:pStyle w:val="ListParagraph"/>
        <w:numPr>
          <w:ilvl w:val="0"/>
          <w:numId w:val="2"/>
        </w:numPr>
        <w:spacing w:after="40" w:before="40"/>
      </w:pPr>
      <w:r>
        <w:rPr>
          <w:rFonts w:ascii="Arial" w:cs="Arial" w:eastAsia="Arial" w:hAnsi="Arial"/>
          <w:color w:val="1a1a1a"/>
          <w:sz w:val="20"/>
          <w:szCs w:val="20"/>
        </w:rPr>
        <w:t xml:space="preserve">Backup snapshots are automatically rotated on a 30-day rolling window</w:t>
      </w:r>
    </w:p>
    <w:p>
      <w:pPr>
        <w:pBdr>
          <w:bottom w:val="single" w:color="B8860B" w:sz="6"/>
        </w:pBdr>
        <w:spacing w:after="120" w:before="360"/>
      </w:pPr>
      <w:r>
        <w:rPr>
          <w:rFonts w:ascii="Arial" w:cs="Arial" w:eastAsia="Arial" w:hAnsi="Arial"/>
          <w:b/>
          <w:bCs/>
          <w:color w:val="1A1A2E"/>
          <w:spacing w:val="40"/>
          <w:sz w:val="26"/>
          <w:szCs w:val="26"/>
        </w:rPr>
        <w:t xml:space="preserve">6. GDPR Right to Erasure (Article 17)</w:t>
      </w:r>
    </w:p>
    <w:p>
      <w:pPr>
        <w:spacing w:after="120" w:before="0"/>
      </w:pPr>
      <w:r>
        <w:rPr>
          <w:rFonts w:ascii="Arial" w:cs="Arial" w:eastAsia="Arial" w:hAnsi="Arial"/>
          <w:color w:val="1a1a1a"/>
          <w:sz w:val="20"/>
          <w:szCs w:val="20"/>
        </w:rPr>
        <w:t xml:space="preserve">Customers may request deletion of their personal data at any time. Upon receiving a verified erasure request:</w:t>
      </w:r>
    </w:p>
    <w:p>
      <w:pPr>
        <w:pStyle w:val="ListParagraph"/>
        <w:numPr>
          <w:ilvl w:val="0"/>
          <w:numId w:val="2"/>
        </w:numPr>
        <w:spacing w:after="40" w:before="40"/>
      </w:pPr>
      <w:r>
        <w:rPr>
          <w:rFonts w:ascii="Arial" w:cs="Arial" w:eastAsia="Arial" w:hAnsi="Arial"/>
          <w:color w:val="1a1a1a"/>
          <w:sz w:val="20"/>
          <w:szCs w:val="20"/>
        </w:rPr>
        <w:t xml:space="preserve">DecisionMesh will complete erasure within 30 days</w:t>
      </w:r>
    </w:p>
    <w:p>
      <w:pPr>
        <w:pStyle w:val="ListParagraph"/>
        <w:numPr>
          <w:ilvl w:val="0"/>
          <w:numId w:val="2"/>
        </w:numPr>
        <w:spacing w:after="40" w:before="40"/>
      </w:pPr>
      <w:r>
        <w:rPr>
          <w:rFonts w:ascii="Arial" w:cs="Arial" w:eastAsia="Arial" w:hAnsi="Arial"/>
          <w:color w:val="1a1a1a"/>
          <w:sz w:val="20"/>
          <w:szCs w:val="20"/>
        </w:rPr>
        <w:t xml:space="preserve">Personal data in immutable audit logs will be anonymised (replaced with [DELETED])</w:t>
      </w:r>
    </w:p>
    <w:p>
      <w:pPr>
        <w:pStyle w:val="ListParagraph"/>
        <w:numPr>
          <w:ilvl w:val="0"/>
          <w:numId w:val="2"/>
        </w:numPr>
        <w:spacing w:after="40" w:before="40"/>
      </w:pPr>
      <w:r>
        <w:rPr>
          <w:rFonts w:ascii="Arial" w:cs="Arial" w:eastAsia="Arial" w:hAnsi="Arial"/>
          <w:color w:val="1a1a1a"/>
          <w:sz w:val="20"/>
          <w:szCs w:val="20"/>
        </w:rPr>
        <w:t xml:space="preserve">Financial records required for legal compliance will be retained for 7 years with personal identifiers removed</w:t>
      </w:r>
    </w:p>
    <w:p>
      <w:pPr>
        <w:pStyle w:val="ListParagraph"/>
        <w:numPr>
          <w:ilvl w:val="0"/>
          <w:numId w:val="2"/>
        </w:numPr>
        <w:spacing w:after="40" w:before="40"/>
      </w:pPr>
      <w:r>
        <w:rPr>
          <w:rFonts w:ascii="Arial" w:cs="Arial" w:eastAsia="Arial" w:hAnsi="Arial"/>
          <w:color w:val="1a1a1a"/>
          <w:sz w:val="20"/>
          <w:szCs w:val="20"/>
        </w:rPr>
        <w:t xml:space="preserve">A confirmation of erasure will be sent to the requesting party</w:t>
      </w:r>
    </w:p>
    <w:p>
      <w:pPr>
        <w:pStyle w:val="ListParagraph"/>
        <w:numPr>
          <w:ilvl w:val="0"/>
          <w:numId w:val="2"/>
        </w:numPr>
        <w:spacing w:after="40" w:before="40"/>
      </w:pPr>
      <w:r>
        <w:rPr>
          <w:rFonts w:ascii="Arial" w:cs="Arial" w:eastAsia="Arial" w:hAnsi="Arial"/>
          <w:color w:val="1a1a1a"/>
          <w:sz w:val="20"/>
          <w:szCs w:val="20"/>
        </w:rPr>
        <w:t xml:space="preserve">Erasure requests are tracked in the erasure_requests table for audit purposes</w:t>
      </w:r>
    </w:p>
    <w:p>
      <w:pPr>
        <w:spacing w:after="120" w:before="0"/>
      </w:pPr>
      <w:r>
        <w:rPr>
          <w:rFonts w:ascii="Arial" w:cs="Arial" w:eastAsia="Arial" w:hAnsi="Arial"/>
          <w:i/>
          <w:iCs/>
          <w:color w:val="1a1a1a"/>
          <w:sz w:val="20"/>
          <w:szCs w:val="20"/>
        </w:rPr>
        <w:t xml:space="preserve">Erasure can be requested via: Settings → Account → Delete Account, or by emailing support@decimeshi.com</w:t>
      </w:r>
    </w:p>
    <w:p>
      <w:pPr>
        <w:pBdr>
          <w:bottom w:val="single" w:color="B8860B" w:sz="6"/>
        </w:pBdr>
        <w:spacing w:after="120" w:before="360"/>
      </w:pPr>
      <w:r>
        <w:rPr>
          <w:rFonts w:ascii="Arial" w:cs="Arial" w:eastAsia="Arial" w:hAnsi="Arial"/>
          <w:b/>
          <w:bCs/>
          <w:color w:val="1A1A2E"/>
          <w:spacing w:val="40"/>
          <w:sz w:val="26"/>
          <w:szCs w:val="26"/>
        </w:rPr>
        <w:t xml:space="preserve">7. Data Residency</w:t>
      </w:r>
    </w:p>
    <w:p>
      <w:pPr>
        <w:pStyle w:val="ListParagraph"/>
        <w:numPr>
          <w:ilvl w:val="0"/>
          <w:numId w:val="2"/>
        </w:numPr>
        <w:spacing w:after="40" w:before="40"/>
      </w:pPr>
      <w:r>
        <w:rPr>
          <w:rFonts w:ascii="Arial" w:cs="Arial" w:eastAsia="Arial" w:hAnsi="Arial"/>
          <w:color w:val="1a1a1a"/>
          <w:sz w:val="20"/>
          <w:szCs w:val="20"/>
        </w:rPr>
        <w:t xml:space="preserve">All production data is stored on Hetzner servers in Nuremberg, Germany (EU jurisdiction)</w:t>
      </w:r>
    </w:p>
    <w:p>
      <w:pPr>
        <w:pStyle w:val="ListParagraph"/>
        <w:numPr>
          <w:ilvl w:val="0"/>
          <w:numId w:val="2"/>
        </w:numPr>
        <w:spacing w:after="40" w:before="40"/>
      </w:pPr>
      <w:r>
        <w:rPr>
          <w:rFonts w:ascii="Arial" w:cs="Arial" w:eastAsia="Arial" w:hAnsi="Arial"/>
          <w:color w:val="1a1a1a"/>
          <w:sz w:val="20"/>
          <w:szCs w:val="20"/>
        </w:rPr>
        <w:t xml:space="preserve">No personal data is transferred outside the European Economic Area (EEA) without appropriate safeguards</w:t>
      </w:r>
    </w:p>
    <w:p>
      <w:pPr>
        <w:pStyle w:val="ListParagraph"/>
        <w:numPr>
          <w:ilvl w:val="0"/>
          <w:numId w:val="2"/>
        </w:numPr>
        <w:spacing w:after="40" w:before="40"/>
      </w:pPr>
      <w:r>
        <w:rPr>
          <w:rFonts w:ascii="Arial" w:cs="Arial" w:eastAsia="Arial" w:hAnsi="Arial"/>
          <w:color w:val="1a1a1a"/>
          <w:sz w:val="20"/>
          <w:szCs w:val="20"/>
        </w:rPr>
        <w:t xml:space="preserve">Staging data is stored on the same EU infrastructure</w:t>
      </w:r>
    </w:p>
    <w:p>
      <w:pPr>
        <w:pStyle w:val="ListParagraph"/>
        <w:numPr>
          <w:ilvl w:val="0"/>
          <w:numId w:val="2"/>
        </w:numPr>
        <w:spacing w:after="40" w:before="40"/>
      </w:pPr>
      <w:r>
        <w:rPr>
          <w:rFonts w:ascii="Arial" w:cs="Arial" w:eastAsia="Arial" w:hAnsi="Arial"/>
          <w:color w:val="1a1a1a"/>
          <w:sz w:val="20"/>
          <w:szCs w:val="20"/>
        </w:rPr>
        <w:t xml:space="preserve">Backups are stored in the same geographic region as primary data</w:t>
      </w:r>
    </w:p>
    <w:p>
      <w:pPr>
        <w:pBdr>
          <w:bottom w:val="single" w:color="B8860B" w:sz="6"/>
        </w:pBdr>
        <w:spacing w:after="120" w:before="360"/>
      </w:pPr>
      <w:r>
        <w:rPr>
          <w:rFonts w:ascii="Arial" w:cs="Arial" w:eastAsia="Arial" w:hAnsi="Arial"/>
          <w:b/>
          <w:bCs/>
          <w:color w:val="1A1A2E"/>
          <w:spacing w:val="40"/>
          <w:sz w:val="26"/>
          <w:szCs w:val="26"/>
        </w:rPr>
        <w:t xml:space="preserve">8. Security During Retention</w:t>
      </w:r>
    </w:p>
    <w:p>
      <w:pPr>
        <w:pStyle w:val="ListParagraph"/>
        <w:numPr>
          <w:ilvl w:val="0"/>
          <w:numId w:val="2"/>
        </w:numPr>
        <w:spacing w:after="40" w:before="40"/>
      </w:pPr>
      <w:r>
        <w:rPr>
          <w:rFonts w:ascii="Arial" w:cs="Arial" w:eastAsia="Arial" w:hAnsi="Arial"/>
          <w:color w:val="1a1a1a"/>
          <w:sz w:val="20"/>
          <w:szCs w:val="20"/>
        </w:rPr>
        <w:t xml:space="preserve">All data at rest is encrypted using AES-256</w:t>
      </w:r>
    </w:p>
    <w:p>
      <w:pPr>
        <w:pStyle w:val="ListParagraph"/>
        <w:numPr>
          <w:ilvl w:val="0"/>
          <w:numId w:val="2"/>
        </w:numPr>
        <w:spacing w:after="40" w:before="40"/>
      </w:pPr>
      <w:r>
        <w:rPr>
          <w:rFonts w:ascii="Arial" w:cs="Arial" w:eastAsia="Arial" w:hAnsi="Arial"/>
          <w:color w:val="1a1a1a"/>
          <w:sz w:val="20"/>
          <w:szCs w:val="20"/>
        </w:rPr>
        <w:t xml:space="preserve">All data in transit is encrypted using TLS 1.2 or higher</w:t>
      </w:r>
    </w:p>
    <w:p>
      <w:pPr>
        <w:pStyle w:val="ListParagraph"/>
        <w:numPr>
          <w:ilvl w:val="0"/>
          <w:numId w:val="2"/>
        </w:numPr>
        <w:spacing w:after="40" w:before="40"/>
      </w:pPr>
      <w:r>
        <w:rPr>
          <w:rFonts w:ascii="Arial" w:cs="Arial" w:eastAsia="Arial" w:hAnsi="Arial"/>
          <w:color w:val="1a1a1a"/>
          <w:sz w:val="20"/>
          <w:szCs w:val="20"/>
        </w:rPr>
        <w:t xml:space="preserve">Access to production data is restricted to authorised personnel only</w:t>
      </w:r>
    </w:p>
    <w:p>
      <w:pPr>
        <w:pStyle w:val="ListParagraph"/>
        <w:numPr>
          <w:ilvl w:val="0"/>
          <w:numId w:val="2"/>
        </w:numPr>
        <w:spacing w:after="40" w:before="40"/>
      </w:pPr>
      <w:r>
        <w:rPr>
          <w:rFonts w:ascii="Arial" w:cs="Arial" w:eastAsia="Arial" w:hAnsi="Arial"/>
          <w:color w:val="1a1a1a"/>
          <w:sz w:val="20"/>
          <w:szCs w:val="20"/>
        </w:rPr>
        <w:t xml:space="preserve">Secrets and credentials are managed via OpenBao (HashiCorp Vault compatible)</w:t>
      </w:r>
    </w:p>
    <w:p>
      <w:pPr>
        <w:pStyle w:val="ListParagraph"/>
        <w:numPr>
          <w:ilvl w:val="0"/>
          <w:numId w:val="2"/>
        </w:numPr>
        <w:spacing w:after="40" w:before="40"/>
      </w:pPr>
      <w:r>
        <w:rPr>
          <w:rFonts w:ascii="Arial" w:cs="Arial" w:eastAsia="Arial" w:hAnsi="Arial"/>
          <w:color w:val="1a1a1a"/>
          <w:sz w:val="20"/>
          <w:szCs w:val="20"/>
        </w:rPr>
        <w:t xml:space="preserve">Database access is audited and logged</w:t>
      </w:r>
    </w:p>
    <w:p>
      <w:pPr>
        <w:pBdr>
          <w:bottom w:val="single" w:color="B8860B" w:sz="6"/>
        </w:pBdr>
        <w:spacing w:after="120" w:before="360"/>
      </w:pPr>
      <w:r>
        <w:rPr>
          <w:rFonts w:ascii="Arial" w:cs="Arial" w:eastAsia="Arial" w:hAnsi="Arial"/>
          <w:b/>
          <w:bCs/>
          <w:color w:val="1A1A2E"/>
          <w:spacing w:val="40"/>
          <w:sz w:val="26"/>
          <w:szCs w:val="26"/>
        </w:rPr>
        <w:t xml:space="preserve">9.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bCs/>
                <w:color w:val="1a1a1a"/>
                <w:sz w:val="18"/>
                <w:szCs w:val="18"/>
              </w:rPr>
              <w:t xml:space="preserve">Director / Data Controller</w:t>
            </w:r>
          </w:p>
        </w:tc>
        <w:tc>
          <w:tcPr>
            <w:tcW w:type="dxa" w:w="63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Owns this policy, approves exceptions, signs off on annual review</w:t>
            </w:r>
          </w:p>
        </w:tc>
      </w:tr>
      <w:tr>
        <w:tc>
          <w:tcPr>
            <w:tcW w:type="dxa" w:w="3000"/>
            <w:tcBorders>
              <w:top w:val="single" w:color="DDDDDD" w:sz="1"/>
              <w:left w:val="single" w:color="DDDDDD" w:sz="1"/>
              <w:bottom w:val="single" w:color="DDDDDD" w:sz="1"/>
              <w:right w:val="single" w:color="DDDDDD" w:sz="1"/>
            </w:tcBorders>
            <w:shd w:fill="F9F9F9" w:val="clear"/>
            <w:tcMar>
              <w:top w:type="dxa" w:w="70"/>
              <w:left w:type="dxa" w:w="100"/>
              <w:bottom w:type="dxa" w:w="70"/>
              <w:right w:type="dxa" w:w="100"/>
            </w:tcMar>
          </w:tcPr>
          <w:p>
            <w:r>
              <w:rPr>
                <w:rFonts w:ascii="Arial" w:cs="Arial" w:eastAsia="Arial" w:hAnsi="Arial"/>
                <w:b/>
                <w:bCs/>
                <w:color w:val="1a1a1a"/>
                <w:sz w:val="18"/>
                <w:szCs w:val="18"/>
              </w:rPr>
              <w:t xml:space="preserve">Engineering Team</w:t>
            </w:r>
          </w:p>
        </w:tc>
        <w:tc>
          <w:tcPr>
            <w:tcW w:type="dxa" w:w="6360"/>
            <w:tcBorders>
              <w:top w:val="single" w:color="DDDDDD" w:sz="1"/>
              <w:left w:val="single" w:color="DDDDDD" w:sz="1"/>
              <w:bottom w:val="single" w:color="DDDDDD" w:sz="1"/>
              <w:right w:val="single" w:color="DDDDDD" w:sz="1"/>
            </w:tcBorders>
            <w:shd w:fill="F9F9F9" w:val="clear"/>
            <w:tcMar>
              <w:top w:type="dxa" w:w="70"/>
              <w:left w:type="dxa" w:w="100"/>
              <w:bottom w:type="dxa" w:w="70"/>
              <w:right w:type="dxa" w:w="100"/>
            </w:tcMar>
          </w:tcPr>
          <w:p>
            <w:r>
              <w:rPr>
                <w:rFonts w:ascii="Arial" w:cs="Arial" w:eastAsia="Arial" w:hAnsi="Arial"/>
                <w:b w:val="false"/>
                <w:bCs w:val="false"/>
                <w:color w:val="1a1a1a"/>
                <w:sz w:val="18"/>
                <w:szCs w:val="18"/>
              </w:rPr>
              <w:t xml:space="preserve">Implements and maintains automated retention enforcement</w:t>
            </w:r>
          </w:p>
        </w:tc>
      </w:tr>
      <w:tr>
        <w:tc>
          <w:tcPr>
            <w:tcW w:type="dxa" w:w="30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bCs/>
                <w:color w:val="1a1a1a"/>
                <w:sz w:val="18"/>
                <w:szCs w:val="18"/>
              </w:rPr>
              <w:t xml:space="preserve">All Personnel</w:t>
            </w:r>
          </w:p>
        </w:tc>
        <w:tc>
          <w:tcPr>
            <w:tcW w:type="dxa" w:w="63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Report data retention violations to support@decimeshi.com</w:t>
            </w:r>
          </w:p>
        </w:tc>
      </w:tr>
    </w:tbl>
    <w:p>
      <w:pPr>
        <w:pBdr>
          <w:bottom w:val="single" w:color="B8860B" w:sz="6"/>
        </w:pBdr>
        <w:spacing w:after="120" w:before="360"/>
      </w:pPr>
      <w:r>
        <w:rPr>
          <w:rFonts w:ascii="Arial" w:cs="Arial" w:eastAsia="Arial" w:hAnsi="Arial"/>
          <w:b/>
          <w:bCs/>
          <w:color w:val="1A1A2E"/>
          <w:spacing w:val="40"/>
          <w:sz w:val="26"/>
          <w:szCs w:val="26"/>
        </w:rPr>
        <w:t xml:space="preserve">10. Policy Review</w:t>
      </w:r>
    </w:p>
    <w:p>
      <w:pPr>
        <w:spacing w:after="120" w:before="0"/>
      </w:pPr>
      <w:r>
        <w:rPr>
          <w:rFonts w:ascii="Arial" w:cs="Arial" w:eastAsia="Arial" w:hAnsi="Arial"/>
          <w:color w:val="1a1a1a"/>
          <w:sz w:val="20"/>
          <w:szCs w:val="20"/>
        </w:rPr>
        <w:t xml:space="preserve">This policy is reviewed annually or when:</w:t>
      </w:r>
    </w:p>
    <w:p>
      <w:pPr>
        <w:pStyle w:val="ListParagraph"/>
        <w:numPr>
          <w:ilvl w:val="0"/>
          <w:numId w:val="2"/>
        </w:numPr>
        <w:spacing w:after="40" w:before="40"/>
      </w:pPr>
      <w:r>
        <w:rPr>
          <w:rFonts w:ascii="Arial" w:cs="Arial" w:eastAsia="Arial" w:hAnsi="Arial"/>
          <w:color w:val="1a1a1a"/>
          <w:sz w:val="20"/>
          <w:szCs w:val="20"/>
        </w:rPr>
        <w:t xml:space="preserve">Applicable laws or regulations change</w:t>
      </w:r>
    </w:p>
    <w:p>
      <w:pPr>
        <w:pStyle w:val="ListParagraph"/>
        <w:numPr>
          <w:ilvl w:val="0"/>
          <w:numId w:val="2"/>
        </w:numPr>
        <w:spacing w:after="40" w:before="40"/>
      </w:pPr>
      <w:r>
        <w:rPr>
          <w:rFonts w:ascii="Arial" w:cs="Arial" w:eastAsia="Arial" w:hAnsi="Arial"/>
          <w:color w:val="1a1a1a"/>
          <w:sz w:val="20"/>
          <w:szCs w:val="20"/>
        </w:rPr>
        <w:t xml:space="preserve">A significant data breach or incident occurs</w:t>
      </w:r>
    </w:p>
    <w:p>
      <w:pPr>
        <w:pStyle w:val="ListParagraph"/>
        <w:numPr>
          <w:ilvl w:val="0"/>
          <w:numId w:val="2"/>
        </w:numPr>
        <w:spacing w:after="40" w:before="40"/>
      </w:pPr>
      <w:r>
        <w:rPr>
          <w:rFonts w:ascii="Arial" w:cs="Arial" w:eastAsia="Arial" w:hAnsi="Arial"/>
          <w:color w:val="1a1a1a"/>
          <w:sz w:val="20"/>
          <w:szCs w:val="20"/>
        </w:rPr>
        <w:t xml:space="preserve">The product adds new data categories</w:t>
      </w:r>
    </w:p>
    <w:p>
      <w:pPr>
        <w:pStyle w:val="ListParagraph"/>
        <w:numPr>
          <w:ilvl w:val="0"/>
          <w:numId w:val="2"/>
        </w:numPr>
        <w:spacing w:after="40" w:before="40"/>
      </w:pPr>
      <w:r>
        <w:rPr>
          <w:rFonts w:ascii="Arial" w:cs="Arial" w:eastAsia="Arial" w:hAnsi="Arial"/>
          <w:color w:val="1a1a1a"/>
          <w:sz w:val="20"/>
          <w:szCs w:val="20"/>
        </w:rPr>
        <w:t xml:space="preserve">A SOC 2 audit recommends changes</w:t>
      </w:r>
    </w:p>
    <w:p>
      <w:pPr>
        <w:spacing w:after="0"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8860B" w:sz="6"/>
              <w:left w:val="none" w:color="FFFFFF" w:sz="0"/>
              <w:bottom w:val="none" w:color="FFFFFF" w:sz="0"/>
              <w:right w:val="none" w:color="FFFFFF" w:sz="0"/>
            </w:tcBorders>
            <w:tcMar>
              <w:top w:type="dxa" w:w="200"/>
              <w:left w:type="dxa" w:w="0"/>
              <w:bottom w:type="dxa" w:w="200"/>
              <w:right w:type="dxa" w:w="0"/>
            </w:tcMar>
          </w:tcPr>
          <w:p>
            <w:pPr>
              <w:spacing w:after="60" w:before="0"/>
            </w:pPr>
            <w:r>
              <w:rPr>
                <w:rFonts w:ascii="Arial" w:cs="Arial" w:eastAsia="Arial" w:hAnsi="Arial"/>
                <w:b/>
                <w:bCs/>
                <w:color w:val="1A1A2E"/>
                <w:sz w:val="20"/>
                <w:szCs w:val="20"/>
              </w:rPr>
              <w:t xml:space="preserve">Approved by:</w:t>
            </w:r>
          </w:p>
          <w:p>
            <w:pPr>
              <w:spacing w:after="40" w:before="0"/>
            </w:pPr>
            <w:r>
              <w:rPr>
                <w:rFonts w:ascii="Arial" w:cs="Arial" w:eastAsia="Arial" w:hAnsi="Arial"/>
                <w:color w:val="1a1a1a"/>
                <w:sz w:val="20"/>
                <w:szCs w:val="20"/>
              </w:rPr>
              <w:t xml:space="preserve">Thirupala  |  Director, DECIMESHI (OPC) PRIVATE LIMITED</w:t>
            </w:r>
          </w:p>
          <w:p>
            <w:pPr>
              <w:spacing w:after="40" w:before="0"/>
            </w:pPr>
            <w:r>
              <w:rPr>
                <w:rFonts w:ascii="Arial" w:cs="Arial" w:eastAsia="Arial" w:hAnsi="Arial"/>
                <w:color w:val="666666"/>
                <w:sz w:val="20"/>
                <w:szCs w:val="20"/>
              </w:rPr>
              <w:t xml:space="preserve">Date: June 2026</w:t>
            </w:r>
          </w:p>
          <w:p>
            <w:pPr>
              <w:spacing w:after="0" w:before="0"/>
            </w:pPr>
            <w:r>
              <w:rPr>
                <w:rFonts w:ascii="Arial" w:cs="Arial" w:eastAsia="Arial" w:hAnsi="Arial"/>
                <w:color w:val="666666"/>
                <w:sz w:val="20"/>
                <w:szCs w:val="20"/>
              </w:rPr>
              <w:t xml:space="preserve">Next Review: June 2027</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2026-06-02T03:43:30.064Z</dcterms:created>
  <dcterms:modified xsi:type="dcterms:W3CDTF">2026-06-02T03:43:30.085Z</dcterms:modified>
</cp:coreProperties>
</file>

<file path=docProps/custom.xml><?xml version="1.0" encoding="utf-8"?>
<Properties xmlns="http://schemas.openxmlformats.org/officeDocument/2006/custom-properties" xmlns:vt="http://schemas.openxmlformats.org/officeDocument/2006/docPropsVTypes"/>
</file>