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3C2A4" w14:textId="29080260" w:rsidR="009760ED" w:rsidRDefault="009760ED">
      <w:r>
        <w:t>Table 10. Flux responses from published field studies at sites across the high arctic.</w:t>
      </w:r>
    </w:p>
    <w:tbl>
      <w:tblPr>
        <w:tblStyle w:val="PlainTable3"/>
        <w:tblW w:w="15574" w:type="dxa"/>
        <w:tblLook w:val="04A0" w:firstRow="1" w:lastRow="0" w:firstColumn="1" w:lastColumn="0" w:noHBand="0" w:noVBand="1"/>
      </w:tblPr>
      <w:tblGrid>
        <w:gridCol w:w="2504"/>
        <w:gridCol w:w="2199"/>
        <w:gridCol w:w="2826"/>
        <w:gridCol w:w="1226"/>
        <w:gridCol w:w="1603"/>
        <w:gridCol w:w="2116"/>
        <w:gridCol w:w="1560"/>
        <w:gridCol w:w="1540"/>
      </w:tblGrid>
      <w:tr w:rsidR="00C51E7E" w:rsidRPr="00BB79D6" w14:paraId="0530CE6E" w14:textId="77777777" w:rsidTr="00BB79D6">
        <w:trPr>
          <w:cnfStyle w:val="100000000000" w:firstRow="1" w:lastRow="0" w:firstColumn="0" w:lastColumn="0" w:oddVBand="0" w:evenVBand="0" w:oddHBand="0" w:evenHBand="0" w:firstRowFirstColumn="0" w:firstRowLastColumn="0" w:lastRowFirstColumn="0" w:lastRowLastColumn="0"/>
          <w:trHeight w:val="560"/>
        </w:trPr>
        <w:tc>
          <w:tcPr>
            <w:cnfStyle w:val="001000000100" w:firstRow="0" w:lastRow="0" w:firstColumn="1" w:lastColumn="0" w:oddVBand="0" w:evenVBand="0" w:oddHBand="0" w:evenHBand="0" w:firstRowFirstColumn="1" w:firstRowLastColumn="0" w:lastRowFirstColumn="0" w:lastRowLastColumn="0"/>
            <w:tcW w:w="2504" w:type="dxa"/>
            <w:vAlign w:val="bottom"/>
          </w:tcPr>
          <w:p w14:paraId="04F0E58F" w14:textId="77777777" w:rsidR="00BC33D2" w:rsidRPr="00BB79D6" w:rsidRDefault="00BC33D2" w:rsidP="00BB79D6">
            <w:pPr>
              <w:rPr>
                <w:b w:val="0"/>
                <w:bCs w:val="0"/>
                <w:caps w:val="0"/>
              </w:rPr>
            </w:pPr>
            <w:r w:rsidRPr="00BB79D6">
              <w:rPr>
                <w:b w:val="0"/>
                <w:bCs w:val="0"/>
                <w:caps w:val="0"/>
              </w:rPr>
              <w:t>Source</w:t>
            </w:r>
          </w:p>
        </w:tc>
        <w:tc>
          <w:tcPr>
            <w:tcW w:w="2199" w:type="dxa"/>
            <w:vAlign w:val="bottom"/>
          </w:tcPr>
          <w:p w14:paraId="28A35739" w14:textId="77777777" w:rsidR="00BC33D2" w:rsidRPr="00BB79D6" w:rsidRDefault="00BC33D2" w:rsidP="00BB79D6">
            <w:pPr>
              <w:cnfStyle w:val="100000000000" w:firstRow="1" w:lastRow="0" w:firstColumn="0" w:lastColumn="0" w:oddVBand="0" w:evenVBand="0" w:oddHBand="0" w:evenHBand="0" w:firstRowFirstColumn="0" w:firstRowLastColumn="0" w:lastRowFirstColumn="0" w:lastRowLastColumn="0"/>
              <w:rPr>
                <w:b w:val="0"/>
                <w:bCs w:val="0"/>
                <w:caps w:val="0"/>
              </w:rPr>
            </w:pPr>
            <w:r w:rsidRPr="00BB79D6">
              <w:rPr>
                <w:b w:val="0"/>
                <w:bCs w:val="0"/>
                <w:caps w:val="0"/>
              </w:rPr>
              <w:t>Place</w:t>
            </w:r>
          </w:p>
        </w:tc>
        <w:tc>
          <w:tcPr>
            <w:tcW w:w="2826" w:type="dxa"/>
            <w:vAlign w:val="bottom"/>
          </w:tcPr>
          <w:p w14:paraId="1D55E8FF" w14:textId="77777777" w:rsidR="00BC33D2" w:rsidRPr="00BB79D6" w:rsidRDefault="00BC33D2" w:rsidP="00BB79D6">
            <w:pPr>
              <w:cnfStyle w:val="100000000000" w:firstRow="1" w:lastRow="0" w:firstColumn="0" w:lastColumn="0" w:oddVBand="0" w:evenVBand="0" w:oddHBand="0" w:evenHBand="0" w:firstRowFirstColumn="0" w:firstRowLastColumn="0" w:lastRowFirstColumn="0" w:lastRowLastColumn="0"/>
              <w:rPr>
                <w:b w:val="0"/>
                <w:bCs w:val="0"/>
                <w:caps w:val="0"/>
              </w:rPr>
            </w:pPr>
            <w:r w:rsidRPr="00BB79D6">
              <w:rPr>
                <w:b w:val="0"/>
                <w:bCs w:val="0"/>
                <w:caps w:val="0"/>
              </w:rPr>
              <w:t>Tundra characteristics</w:t>
            </w:r>
          </w:p>
        </w:tc>
        <w:tc>
          <w:tcPr>
            <w:tcW w:w="1226" w:type="dxa"/>
            <w:vAlign w:val="bottom"/>
          </w:tcPr>
          <w:p w14:paraId="03D83676" w14:textId="77777777" w:rsidR="00BC33D2" w:rsidRPr="00BB79D6" w:rsidRDefault="00BC33D2" w:rsidP="00BB79D6">
            <w:pPr>
              <w:cnfStyle w:val="100000000000" w:firstRow="1" w:lastRow="0" w:firstColumn="0" w:lastColumn="0" w:oddVBand="0" w:evenVBand="0" w:oddHBand="0" w:evenHBand="0" w:firstRowFirstColumn="0" w:firstRowLastColumn="0" w:lastRowFirstColumn="0" w:lastRowLastColumn="0"/>
              <w:rPr>
                <w:b w:val="0"/>
                <w:bCs w:val="0"/>
                <w:caps w:val="0"/>
              </w:rPr>
            </w:pPr>
            <w:r w:rsidRPr="00BB79D6">
              <w:rPr>
                <w:b w:val="0"/>
                <w:bCs w:val="0"/>
                <w:caps w:val="0"/>
              </w:rPr>
              <w:t>Year(s)</w:t>
            </w:r>
          </w:p>
        </w:tc>
        <w:tc>
          <w:tcPr>
            <w:tcW w:w="1603" w:type="dxa"/>
            <w:vAlign w:val="bottom"/>
          </w:tcPr>
          <w:p w14:paraId="18AE0CB5" w14:textId="1F397D78" w:rsidR="00BC33D2" w:rsidRPr="00BB79D6" w:rsidRDefault="00BC33D2" w:rsidP="00BB79D6">
            <w:pPr>
              <w:cnfStyle w:val="100000000000" w:firstRow="1" w:lastRow="0" w:firstColumn="0" w:lastColumn="0" w:oddVBand="0" w:evenVBand="0" w:oddHBand="0" w:evenHBand="0" w:firstRowFirstColumn="0" w:firstRowLastColumn="0" w:lastRowFirstColumn="0" w:lastRowLastColumn="0"/>
              <w:rPr>
                <w:b w:val="0"/>
                <w:bCs w:val="0"/>
                <w:caps w:val="0"/>
              </w:rPr>
            </w:pPr>
            <w:r w:rsidRPr="00BB79D6">
              <w:rPr>
                <w:b w:val="0"/>
                <w:bCs w:val="0"/>
                <w:caps w:val="0"/>
              </w:rPr>
              <w:t>NEE</w:t>
            </w:r>
          </w:p>
        </w:tc>
        <w:tc>
          <w:tcPr>
            <w:tcW w:w="2116" w:type="dxa"/>
            <w:vAlign w:val="bottom"/>
          </w:tcPr>
          <w:p w14:paraId="682A4C4D" w14:textId="77777777" w:rsidR="00BC33D2" w:rsidRPr="00BB79D6" w:rsidRDefault="00BC33D2" w:rsidP="00BB79D6">
            <w:pPr>
              <w:cnfStyle w:val="100000000000" w:firstRow="1" w:lastRow="0" w:firstColumn="0" w:lastColumn="0" w:oddVBand="0" w:evenVBand="0" w:oddHBand="0" w:evenHBand="0" w:firstRowFirstColumn="0" w:firstRowLastColumn="0" w:lastRowFirstColumn="0" w:lastRowLastColumn="0"/>
              <w:rPr>
                <w:b w:val="0"/>
                <w:bCs w:val="0"/>
                <w:caps w:val="0"/>
              </w:rPr>
            </w:pPr>
            <w:r w:rsidRPr="00BB79D6">
              <w:rPr>
                <w:b w:val="0"/>
                <w:bCs w:val="0"/>
                <w:caps w:val="0"/>
              </w:rPr>
              <w:t>NEE response</w:t>
            </w:r>
          </w:p>
        </w:tc>
        <w:tc>
          <w:tcPr>
            <w:tcW w:w="1560" w:type="dxa"/>
            <w:vAlign w:val="bottom"/>
          </w:tcPr>
          <w:p w14:paraId="39BE09ED" w14:textId="10012644" w:rsidR="00BC33D2" w:rsidRPr="00BB79D6" w:rsidRDefault="00BC33D2" w:rsidP="00BB79D6">
            <w:pPr>
              <w:cnfStyle w:val="100000000000" w:firstRow="1" w:lastRow="0" w:firstColumn="0" w:lastColumn="0" w:oddVBand="0" w:evenVBand="0" w:oddHBand="0" w:evenHBand="0" w:firstRowFirstColumn="0" w:firstRowLastColumn="0" w:lastRowFirstColumn="0" w:lastRowLastColumn="0"/>
              <w:rPr>
                <w:b w:val="0"/>
                <w:bCs w:val="0"/>
                <w:caps w:val="0"/>
              </w:rPr>
            </w:pPr>
            <w:r w:rsidRPr="00BB79D6">
              <w:rPr>
                <w:b w:val="0"/>
                <w:bCs w:val="0"/>
                <w:caps w:val="0"/>
              </w:rPr>
              <w:t>GEP response</w:t>
            </w:r>
          </w:p>
        </w:tc>
        <w:tc>
          <w:tcPr>
            <w:tcW w:w="1540" w:type="dxa"/>
            <w:vAlign w:val="bottom"/>
          </w:tcPr>
          <w:p w14:paraId="4A8FAEC6" w14:textId="6EA02039" w:rsidR="00BC33D2" w:rsidRPr="00BB79D6" w:rsidRDefault="00BC33D2" w:rsidP="00BB79D6">
            <w:pPr>
              <w:cnfStyle w:val="100000000000" w:firstRow="1" w:lastRow="0" w:firstColumn="0" w:lastColumn="0" w:oddVBand="0" w:evenVBand="0" w:oddHBand="0" w:evenHBand="0" w:firstRowFirstColumn="0" w:firstRowLastColumn="0" w:lastRowFirstColumn="0" w:lastRowLastColumn="0"/>
              <w:rPr>
                <w:b w:val="0"/>
                <w:bCs w:val="0"/>
                <w:caps w:val="0"/>
              </w:rPr>
            </w:pPr>
            <w:r w:rsidRPr="00BB79D6">
              <w:rPr>
                <w:b w:val="0"/>
                <w:bCs w:val="0"/>
                <w:caps w:val="0"/>
              </w:rPr>
              <w:t>ER</w:t>
            </w:r>
            <w:r w:rsidR="007637C1" w:rsidRPr="00BB79D6">
              <w:rPr>
                <w:b w:val="0"/>
                <w:bCs w:val="0"/>
                <w:caps w:val="0"/>
              </w:rPr>
              <w:t xml:space="preserve"> </w:t>
            </w:r>
            <w:r w:rsidRPr="00BB79D6">
              <w:rPr>
                <w:b w:val="0"/>
                <w:bCs w:val="0"/>
                <w:caps w:val="0"/>
              </w:rPr>
              <w:t>response</w:t>
            </w:r>
          </w:p>
        </w:tc>
      </w:tr>
      <w:tr w:rsidR="00BB79D6" w:rsidRPr="00BB79D6" w14:paraId="4967DE3F" w14:textId="77777777" w:rsidTr="00BB79D6">
        <w:trPr>
          <w:cnfStyle w:val="000000100000" w:firstRow="0" w:lastRow="0" w:firstColumn="0" w:lastColumn="0" w:oddVBand="0" w:evenVBand="0" w:oddHBand="1" w:evenHBand="0" w:firstRowFirstColumn="0" w:firstRowLastColumn="0" w:lastRowFirstColumn="0" w:lastRowLastColumn="0"/>
          <w:trHeight w:val="649"/>
        </w:trPr>
        <w:tc>
          <w:tcPr>
            <w:cnfStyle w:val="001000000000" w:firstRow="0" w:lastRow="0" w:firstColumn="1" w:lastColumn="0" w:oddVBand="0" w:evenVBand="0" w:oddHBand="0" w:evenHBand="0" w:firstRowFirstColumn="0" w:firstRowLastColumn="0" w:lastRowFirstColumn="0" w:lastRowLastColumn="0"/>
            <w:tcW w:w="2504" w:type="dxa"/>
          </w:tcPr>
          <w:p w14:paraId="3C6C0609" w14:textId="77777777" w:rsidR="00BC33D2" w:rsidRPr="00BB79D6" w:rsidRDefault="00BC33D2" w:rsidP="00BB79D6">
            <w:pPr>
              <w:spacing w:line="360" w:lineRule="auto"/>
              <w:rPr>
                <w:b w:val="0"/>
                <w:bCs w:val="0"/>
                <w:caps w:val="0"/>
                <w:sz w:val="20"/>
                <w:szCs w:val="20"/>
              </w:rPr>
            </w:pPr>
            <w:r w:rsidRPr="00BB79D6">
              <w:rPr>
                <w:b w:val="0"/>
                <w:bCs w:val="0"/>
                <w:caps w:val="0"/>
                <w:sz w:val="20"/>
                <w:szCs w:val="20"/>
              </w:rPr>
              <w:fldChar w:fldCharType="begin"/>
            </w:r>
            <w:r w:rsidRPr="00BB79D6">
              <w:rPr>
                <w:b w:val="0"/>
                <w:bCs w:val="0"/>
                <w:caps w:val="0"/>
                <w:sz w:val="20"/>
                <w:szCs w:val="20"/>
              </w:rPr>
              <w:instrText xml:space="preserve"> ADDIN ZOTERO_ITEM CSL_CITATION {"citationID":"5vlWSDtW","properties":{"formattedCitation":"(Hobbie &amp; Chapin, 1998)","plainCitation":"(Hobbie &amp; Chapin, 1998)","noteIndex":0},"citationItems":[{"id":10976,"uris":["http://zotero.org/groups/4708236/items/ZR273ES6"],"itemData":{"id":10976,"type":"article-journal","abstract":"We manipulated air temperature in tussock tundra near Toolik Lake, Alaska, and determined the consequences for total plant biomass, aboveground net primary production (ANPP), ecosystem nitrogen (N) pools and N uptake, and ecosystem CO2 flux.","container-title":"Ecology","ISSN":"00129658","issue":"5","language":"English","license":"Copyright Ecological Society of America Jul 1998","note":"number-of-pages: 19\npublisher-place: Brooklyn, United States\npublisher: Ecological Society of America","page":"1526-1544","source":"ProQuest","title":"The response of tundra plant biomass, aboveground production, nitrogen, and co2 flux to experimental warming","volume":"79","author":[{"family":"Hobbie","given":"Sarah E."},{"family":"Chapin","given":"F. Stuart"}],"issued":{"date-parts":[["1998",7]]}}}],"schema":"https://github.com/citation-style-language/schema/raw/master/csl-citation.json"} </w:instrText>
            </w:r>
            <w:r w:rsidRPr="00BB79D6">
              <w:rPr>
                <w:b w:val="0"/>
                <w:bCs w:val="0"/>
                <w:caps w:val="0"/>
                <w:sz w:val="20"/>
                <w:szCs w:val="20"/>
              </w:rPr>
              <w:fldChar w:fldCharType="separate"/>
            </w:r>
            <w:r w:rsidRPr="00BB79D6">
              <w:rPr>
                <w:b w:val="0"/>
                <w:bCs w:val="0"/>
                <w:caps w:val="0"/>
                <w:noProof/>
                <w:sz w:val="20"/>
                <w:szCs w:val="20"/>
              </w:rPr>
              <w:t>(Hobbie &amp; Chapin, 1998)</w:t>
            </w:r>
            <w:r w:rsidRPr="00BB79D6">
              <w:rPr>
                <w:b w:val="0"/>
                <w:bCs w:val="0"/>
                <w:caps w:val="0"/>
                <w:sz w:val="20"/>
                <w:szCs w:val="20"/>
              </w:rPr>
              <w:fldChar w:fldCharType="end"/>
            </w:r>
          </w:p>
        </w:tc>
        <w:tc>
          <w:tcPr>
            <w:tcW w:w="2199" w:type="dxa"/>
          </w:tcPr>
          <w:p w14:paraId="17306A54" w14:textId="77777777" w:rsidR="00BC33D2" w:rsidRPr="00BB79D6" w:rsidRDefault="00BC33D2" w:rsidP="00BB79D6">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BB79D6">
              <w:rPr>
                <w:sz w:val="20"/>
                <w:szCs w:val="20"/>
              </w:rPr>
              <w:t>Toolik</w:t>
            </w:r>
            <w:proofErr w:type="spellEnd"/>
            <w:r w:rsidRPr="00BB79D6">
              <w:rPr>
                <w:sz w:val="20"/>
                <w:szCs w:val="20"/>
              </w:rPr>
              <w:t xml:space="preserve"> Lake (inlet and outlet), AK</w:t>
            </w:r>
          </w:p>
        </w:tc>
        <w:tc>
          <w:tcPr>
            <w:tcW w:w="2826" w:type="dxa"/>
          </w:tcPr>
          <w:p w14:paraId="376BD0F0" w14:textId="77777777" w:rsidR="00BC33D2" w:rsidRPr="00BB79D6" w:rsidRDefault="00BC33D2" w:rsidP="00BB79D6">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Wet sedge tundra</w:t>
            </w:r>
          </w:p>
        </w:tc>
        <w:tc>
          <w:tcPr>
            <w:tcW w:w="1226" w:type="dxa"/>
          </w:tcPr>
          <w:p w14:paraId="3E3B5869" w14:textId="77777777" w:rsidR="00BC33D2" w:rsidRPr="00BB79D6" w:rsidRDefault="00BC33D2" w:rsidP="00BB79D6">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1993</w:t>
            </w:r>
          </w:p>
        </w:tc>
        <w:tc>
          <w:tcPr>
            <w:tcW w:w="1603" w:type="dxa"/>
          </w:tcPr>
          <w:p w14:paraId="05BB8A17" w14:textId="77777777" w:rsidR="00BC33D2" w:rsidRPr="00BB79D6" w:rsidRDefault="00BC33D2" w:rsidP="00BB79D6">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Sink</w:t>
            </w:r>
          </w:p>
        </w:tc>
        <w:tc>
          <w:tcPr>
            <w:tcW w:w="2116" w:type="dxa"/>
          </w:tcPr>
          <w:p w14:paraId="06AD54F3" w14:textId="283385B7" w:rsidR="00BC33D2" w:rsidRPr="00BB79D6" w:rsidRDefault="00132CC4" w:rsidP="00BB79D6">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w:t>
            </w:r>
            <w:r w:rsidR="006079CF" w:rsidRPr="00BB79D6">
              <w:rPr>
                <w:sz w:val="20"/>
                <w:szCs w:val="20"/>
              </w:rPr>
              <w:t xml:space="preserve"> (across sites)</w:t>
            </w:r>
          </w:p>
        </w:tc>
        <w:tc>
          <w:tcPr>
            <w:tcW w:w="1560" w:type="dxa"/>
          </w:tcPr>
          <w:p w14:paraId="42A0916B" w14:textId="4B7FF258" w:rsidR="00BC33D2" w:rsidRPr="00BB79D6" w:rsidRDefault="00132CC4" w:rsidP="00BB79D6">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w:t>
            </w:r>
          </w:p>
        </w:tc>
        <w:tc>
          <w:tcPr>
            <w:tcW w:w="1540" w:type="dxa"/>
          </w:tcPr>
          <w:p w14:paraId="24F796FB" w14:textId="25DD4A63" w:rsidR="00BC33D2" w:rsidRPr="00BB79D6" w:rsidRDefault="007637C1" w:rsidP="00BB79D6">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w:t>
            </w:r>
          </w:p>
        </w:tc>
      </w:tr>
      <w:tr w:rsidR="00C51E7E" w:rsidRPr="00BB79D6" w14:paraId="4C1BB815" w14:textId="77777777" w:rsidTr="00BB79D6">
        <w:trPr>
          <w:trHeight w:val="668"/>
        </w:trPr>
        <w:tc>
          <w:tcPr>
            <w:cnfStyle w:val="001000000000" w:firstRow="0" w:lastRow="0" w:firstColumn="1" w:lastColumn="0" w:oddVBand="0" w:evenVBand="0" w:oddHBand="0" w:evenHBand="0" w:firstRowFirstColumn="0" w:firstRowLastColumn="0" w:lastRowFirstColumn="0" w:lastRowLastColumn="0"/>
            <w:tcW w:w="2504" w:type="dxa"/>
          </w:tcPr>
          <w:p w14:paraId="30C5E02B" w14:textId="77777777" w:rsidR="00BC33D2" w:rsidRPr="00BB79D6" w:rsidRDefault="00BC33D2" w:rsidP="00BB79D6">
            <w:pPr>
              <w:spacing w:line="360" w:lineRule="auto"/>
              <w:rPr>
                <w:b w:val="0"/>
                <w:bCs w:val="0"/>
                <w:caps w:val="0"/>
                <w:sz w:val="20"/>
                <w:szCs w:val="20"/>
              </w:rPr>
            </w:pPr>
            <w:r w:rsidRPr="00BB79D6">
              <w:rPr>
                <w:b w:val="0"/>
                <w:bCs w:val="0"/>
                <w:caps w:val="0"/>
                <w:sz w:val="20"/>
                <w:szCs w:val="20"/>
              </w:rPr>
              <w:fldChar w:fldCharType="begin"/>
            </w:r>
            <w:r w:rsidRPr="00BB79D6">
              <w:rPr>
                <w:b w:val="0"/>
                <w:bCs w:val="0"/>
                <w:caps w:val="0"/>
                <w:sz w:val="20"/>
                <w:szCs w:val="20"/>
              </w:rPr>
              <w:instrText xml:space="preserve"> ADDIN ZOTERO_ITEM CSL_CITATION {"citationID":"7UJiRnPc","properties":{"formattedCitation":"(Shaver et al., 1998)","plainCitation":"(Shaver et al., 1998)","noteIndex":0},"citationItems":[{"id":323,"uris":["http://zotero.org/groups/4708236/items/ABI2V65Y"],"itemData":{"id":323,"type":"article-journal","abstract":"The aim of this research was to analyze the effects of increased N or P availability, increased air temperature, and decreased light intensity on wet sedge tundra in northern Alaska. Nutrient availability was increased for 6–9 growing seasons, using N and P fertilizers in factorial experiments at three separate ﬁeld sites. Air temperature was increased for six growing seasons, using plastic greenhouses at two sites, both with and without N ϩ P fertilizer. Light intensity (photosynthetically active photon ﬂux) was reduced by 50% for six growing seasons at the same two sites, using optically neutral shade cloth. Responses of wet sedge tundra to these treatments were documented as changes in vegetation biomass, N mass, and P mass, changes in whole-system CO2 ﬂuxes, and changes in species composition and leaf-level photosynthesis.","container-title":"Ecological Monographs","DOI":"10.1890/0012-9615(1998)068[0075:BACFIW]2.0.CO;2","ISSN":"0012-9615","issue":"1","journalAbbreviation":"Ecological Monographs","language":"en","page":"75-97","source":"DOI.org (Crossref)","title":"Biomass and CO2 flux in wet sedge tundras: responses to nutrients, temperature, and light","title-short":"BIOMASS AND CO &lt;sub&gt;2&lt;/sub&gt; FLUX IN WET SEDGE TUNDRAS","volume":"68","author":[{"family":"Shaver","given":"G. R."},{"family":"Johnson","given":"L. C."},{"family":"Cades","given":"D. H."},{"family":"Murray","given":"G."},{"family":"Laundre","given":"J. A."},{"family":"Rastetter","given":"E. B."},{"family":"Nadelhoffer","given":"K. J."},{"family":"Giblin","given":"A. E."}],"issued":{"date-parts":[["1998",2]]}}}],"schema":"https://github.com/citation-style-language/schema/raw/master/csl-citation.json"} </w:instrText>
            </w:r>
            <w:r w:rsidRPr="00BB79D6">
              <w:rPr>
                <w:b w:val="0"/>
                <w:bCs w:val="0"/>
                <w:caps w:val="0"/>
                <w:sz w:val="20"/>
                <w:szCs w:val="20"/>
              </w:rPr>
              <w:fldChar w:fldCharType="separate"/>
            </w:r>
            <w:r w:rsidRPr="00BB79D6">
              <w:rPr>
                <w:b w:val="0"/>
                <w:bCs w:val="0"/>
                <w:caps w:val="0"/>
                <w:noProof/>
                <w:sz w:val="20"/>
                <w:szCs w:val="20"/>
              </w:rPr>
              <w:t>(Shaver et al., 1998)</w:t>
            </w:r>
            <w:r w:rsidRPr="00BB79D6">
              <w:rPr>
                <w:b w:val="0"/>
                <w:bCs w:val="0"/>
                <w:caps w:val="0"/>
                <w:sz w:val="20"/>
                <w:szCs w:val="20"/>
              </w:rPr>
              <w:fldChar w:fldCharType="end"/>
            </w:r>
          </w:p>
        </w:tc>
        <w:tc>
          <w:tcPr>
            <w:tcW w:w="2199" w:type="dxa"/>
          </w:tcPr>
          <w:p w14:paraId="32359DD3" w14:textId="77777777" w:rsidR="00BC33D2" w:rsidRPr="00BB79D6" w:rsidRDefault="00BC33D2" w:rsidP="00BB79D6">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BB79D6">
              <w:rPr>
                <w:sz w:val="20"/>
                <w:szCs w:val="20"/>
              </w:rPr>
              <w:t>Toolik</w:t>
            </w:r>
            <w:proofErr w:type="spellEnd"/>
            <w:r w:rsidRPr="00BB79D6">
              <w:rPr>
                <w:sz w:val="20"/>
                <w:szCs w:val="20"/>
              </w:rPr>
              <w:t xml:space="preserve"> Lake (inlet and outlet), AK</w:t>
            </w:r>
          </w:p>
        </w:tc>
        <w:tc>
          <w:tcPr>
            <w:tcW w:w="2826" w:type="dxa"/>
          </w:tcPr>
          <w:p w14:paraId="4DF47713" w14:textId="77777777" w:rsidR="00BC33D2" w:rsidRPr="00BB79D6" w:rsidRDefault="00BC33D2" w:rsidP="00BB79D6">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sidRPr="00BB79D6">
              <w:rPr>
                <w:sz w:val="20"/>
                <w:szCs w:val="20"/>
              </w:rPr>
              <w:t>Wet sedge tundra</w:t>
            </w:r>
          </w:p>
        </w:tc>
        <w:tc>
          <w:tcPr>
            <w:tcW w:w="1226" w:type="dxa"/>
          </w:tcPr>
          <w:p w14:paraId="3689026C" w14:textId="77777777" w:rsidR="00BC33D2" w:rsidRPr="00BB79D6" w:rsidRDefault="00BC33D2" w:rsidP="00BB79D6">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sidRPr="00BB79D6">
              <w:rPr>
                <w:sz w:val="20"/>
                <w:szCs w:val="20"/>
              </w:rPr>
              <w:t>1994</w:t>
            </w:r>
          </w:p>
        </w:tc>
        <w:tc>
          <w:tcPr>
            <w:tcW w:w="1603" w:type="dxa"/>
          </w:tcPr>
          <w:p w14:paraId="412EC000" w14:textId="77777777" w:rsidR="00BC33D2" w:rsidRPr="00BB79D6" w:rsidRDefault="00BC33D2" w:rsidP="00BB79D6">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sidRPr="00BB79D6">
              <w:rPr>
                <w:sz w:val="20"/>
                <w:szCs w:val="20"/>
              </w:rPr>
              <w:t>Sink</w:t>
            </w:r>
          </w:p>
        </w:tc>
        <w:tc>
          <w:tcPr>
            <w:tcW w:w="2116" w:type="dxa"/>
          </w:tcPr>
          <w:p w14:paraId="3988A6E1" w14:textId="44BE1CE4" w:rsidR="00BC33D2" w:rsidRPr="00BB79D6" w:rsidRDefault="005567CA" w:rsidP="00BB79D6">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sidRPr="00BB79D6">
              <w:rPr>
                <w:sz w:val="20"/>
                <w:szCs w:val="20"/>
              </w:rPr>
              <w:t>↕︎</w:t>
            </w:r>
            <w:r w:rsidR="006079CF" w:rsidRPr="00BB79D6">
              <w:rPr>
                <w:sz w:val="20"/>
                <w:szCs w:val="20"/>
              </w:rPr>
              <w:t xml:space="preserve"> (across sites)</w:t>
            </w:r>
          </w:p>
        </w:tc>
        <w:tc>
          <w:tcPr>
            <w:tcW w:w="1560" w:type="dxa"/>
          </w:tcPr>
          <w:p w14:paraId="4A76C846" w14:textId="30628D4F" w:rsidR="00BC33D2" w:rsidRPr="00BB79D6" w:rsidRDefault="00CE70BC" w:rsidP="00BB79D6">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BB79D6">
              <w:rPr>
                <w:sz w:val="20"/>
                <w:szCs w:val="20"/>
              </w:rPr>
              <w:t>↑</w:t>
            </w:r>
          </w:p>
        </w:tc>
        <w:tc>
          <w:tcPr>
            <w:tcW w:w="1540" w:type="dxa"/>
          </w:tcPr>
          <w:p w14:paraId="49EE0AA8" w14:textId="3B843D3F" w:rsidR="00BC33D2" w:rsidRPr="00BB79D6" w:rsidRDefault="007637C1" w:rsidP="00BB79D6">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BB79D6">
              <w:rPr>
                <w:sz w:val="20"/>
                <w:szCs w:val="20"/>
              </w:rPr>
              <w:t>↑</w:t>
            </w:r>
          </w:p>
        </w:tc>
      </w:tr>
      <w:tr w:rsidR="00BB79D6" w:rsidRPr="00BB79D6" w14:paraId="43045612" w14:textId="77777777" w:rsidTr="00BB79D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504" w:type="dxa"/>
          </w:tcPr>
          <w:p w14:paraId="5E71CA6E" w14:textId="77777777" w:rsidR="00BC33D2" w:rsidRPr="00BB79D6" w:rsidRDefault="00BC33D2" w:rsidP="00BB79D6">
            <w:pPr>
              <w:spacing w:line="360" w:lineRule="auto"/>
              <w:rPr>
                <w:b w:val="0"/>
                <w:bCs w:val="0"/>
                <w:caps w:val="0"/>
                <w:sz w:val="20"/>
                <w:szCs w:val="20"/>
              </w:rPr>
            </w:pPr>
            <w:r w:rsidRPr="00BB79D6">
              <w:rPr>
                <w:b w:val="0"/>
                <w:bCs w:val="0"/>
                <w:caps w:val="0"/>
                <w:sz w:val="20"/>
                <w:szCs w:val="20"/>
              </w:rPr>
              <w:fldChar w:fldCharType="begin"/>
            </w:r>
            <w:r w:rsidRPr="00BB79D6">
              <w:rPr>
                <w:b w:val="0"/>
                <w:bCs w:val="0"/>
                <w:caps w:val="0"/>
                <w:sz w:val="20"/>
                <w:szCs w:val="20"/>
              </w:rPr>
              <w:instrText xml:space="preserve"> ADDIN ZOTERO_ITEM CSL_CITATION {"citationID":"PRS3n6aW","properties":{"formattedCitation":"(Boelman et al., 2003)","plainCitation":"(Boelman et al., 2003)","noteIndex":0},"citationItems":[{"id":10818,"uris":["http://zotero.org/groups/4708236/items/GT7XMWMT"],"itemData":{"id":10818,"type":"article-journal","abstract":"This study explores the relationship between the normalized difference vegetation index (NDVI), aboveground plant biomass, and ecosystem C fluxes including gross ecosystem production (GEP), ecosystem respiration (ER) and net ecosystem production. We measured NDVI across long-term experimental treatments in wet sedge tundra at the Toolik Lake LTER site, in northern Alaska. Over 13 years, N and P were applied in factorial experiments (N, P and N + P), air temperature was increased using greenhouses with and without N + P fertilizer, and light intensity (photosynthetically active photon flux density) was reduced by 50% using shade cloth. Within each treatment plot, NDVI, aboveground biomass and whole-system CO2 flux measurements were made at the same sampling points during the peak-growing season of 2001. We found that across all treatments, NDVI is correlated with aboveground biomass (r2=0.84), GEP (r2=0.75) and ER (r2=0.71), providing a basis for linking remotely sensed NDVI to aboveground biomass and ecosystem carbon flux.","container-title":"Oecologia","DOI":"10.1007/s00442-003-1198-3","ISSN":"1432-1939","issue":"3","journalAbbreviation":"Oecologia","language":"en","page":"414-421","source":"Springer Link","title":"Response of NDVI, biomass, and ecosystem gas exchange to long-term warming and fertilization in wet sedge tundra","volume":"135","author":[{"family":"Boelman","given":"Natalie T."},{"family":"Stieglitz","given":"Marc"},{"family":"Rueth","given":"Heather M."},{"family":"Sommerkorn","given":"Martin"},{"family":"Griffin","given":"Kevin L."},{"family":"Shaver","given":"Gaius R."},{"family":"Gamon","given":"John A."}],"issued":{"date-parts":[["2003",5,1]]}}}],"schema":"https://github.com/citation-style-language/schema/raw/master/csl-citation.json"} </w:instrText>
            </w:r>
            <w:r w:rsidRPr="00BB79D6">
              <w:rPr>
                <w:b w:val="0"/>
                <w:bCs w:val="0"/>
                <w:caps w:val="0"/>
                <w:sz w:val="20"/>
                <w:szCs w:val="20"/>
              </w:rPr>
              <w:fldChar w:fldCharType="separate"/>
            </w:r>
            <w:r w:rsidRPr="00BB79D6">
              <w:rPr>
                <w:b w:val="0"/>
                <w:bCs w:val="0"/>
                <w:caps w:val="0"/>
                <w:noProof/>
                <w:sz w:val="20"/>
                <w:szCs w:val="20"/>
              </w:rPr>
              <w:t>(Boelman et al., 2003)</w:t>
            </w:r>
            <w:r w:rsidRPr="00BB79D6">
              <w:rPr>
                <w:b w:val="0"/>
                <w:bCs w:val="0"/>
                <w:caps w:val="0"/>
                <w:sz w:val="20"/>
                <w:szCs w:val="20"/>
              </w:rPr>
              <w:fldChar w:fldCharType="end"/>
            </w:r>
          </w:p>
        </w:tc>
        <w:tc>
          <w:tcPr>
            <w:tcW w:w="2199" w:type="dxa"/>
          </w:tcPr>
          <w:p w14:paraId="4E6FBEC5" w14:textId="77777777" w:rsidR="00BC33D2" w:rsidRPr="00BB79D6" w:rsidRDefault="00BC33D2" w:rsidP="00BB79D6">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BB79D6">
              <w:rPr>
                <w:sz w:val="20"/>
                <w:szCs w:val="20"/>
              </w:rPr>
              <w:t>Toolik</w:t>
            </w:r>
            <w:proofErr w:type="spellEnd"/>
            <w:r w:rsidRPr="00BB79D6">
              <w:rPr>
                <w:sz w:val="20"/>
                <w:szCs w:val="20"/>
              </w:rPr>
              <w:t xml:space="preserve"> Lake outlet, AK</w:t>
            </w:r>
          </w:p>
        </w:tc>
        <w:tc>
          <w:tcPr>
            <w:tcW w:w="2826" w:type="dxa"/>
          </w:tcPr>
          <w:p w14:paraId="2FF6591E" w14:textId="77777777" w:rsidR="00BC33D2" w:rsidRPr="00BB79D6" w:rsidRDefault="00BC33D2" w:rsidP="00BB79D6">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Wet sedge tundra</w:t>
            </w:r>
          </w:p>
        </w:tc>
        <w:tc>
          <w:tcPr>
            <w:tcW w:w="1226" w:type="dxa"/>
          </w:tcPr>
          <w:p w14:paraId="18C5ADAA" w14:textId="77777777" w:rsidR="00BC33D2" w:rsidRPr="00BB79D6" w:rsidRDefault="00BC33D2" w:rsidP="00BB79D6">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2002</w:t>
            </w:r>
          </w:p>
        </w:tc>
        <w:tc>
          <w:tcPr>
            <w:tcW w:w="1603" w:type="dxa"/>
          </w:tcPr>
          <w:p w14:paraId="72A41D75" w14:textId="77777777" w:rsidR="00BC33D2" w:rsidRPr="00BB79D6" w:rsidRDefault="00BC33D2" w:rsidP="00BB79D6">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Sink</w:t>
            </w:r>
          </w:p>
        </w:tc>
        <w:tc>
          <w:tcPr>
            <w:tcW w:w="2116" w:type="dxa"/>
          </w:tcPr>
          <w:p w14:paraId="1D0B1561" w14:textId="0B047ABD" w:rsidR="00BC33D2" w:rsidRPr="00BB79D6" w:rsidRDefault="00CE70BC" w:rsidP="00BB79D6">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w:t>
            </w:r>
          </w:p>
        </w:tc>
        <w:tc>
          <w:tcPr>
            <w:tcW w:w="1560" w:type="dxa"/>
          </w:tcPr>
          <w:p w14:paraId="4D3FF817" w14:textId="0933F6BF" w:rsidR="00BC33D2" w:rsidRPr="00BB79D6" w:rsidRDefault="00CE70BC" w:rsidP="00BB79D6">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w:t>
            </w:r>
          </w:p>
        </w:tc>
        <w:tc>
          <w:tcPr>
            <w:tcW w:w="1540" w:type="dxa"/>
          </w:tcPr>
          <w:p w14:paraId="2A1D59A2" w14:textId="0E50AF82" w:rsidR="00BC33D2" w:rsidRPr="00BB79D6" w:rsidRDefault="007637C1" w:rsidP="00BB79D6">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w:t>
            </w:r>
          </w:p>
        </w:tc>
      </w:tr>
      <w:tr w:rsidR="007F2F96" w:rsidRPr="00BB79D6" w14:paraId="3F2CF664" w14:textId="77777777" w:rsidTr="00BB79D6">
        <w:trPr>
          <w:trHeight w:val="649"/>
        </w:trPr>
        <w:tc>
          <w:tcPr>
            <w:cnfStyle w:val="001000000000" w:firstRow="0" w:lastRow="0" w:firstColumn="1" w:lastColumn="0" w:oddVBand="0" w:evenVBand="0" w:oddHBand="0" w:evenHBand="0" w:firstRowFirstColumn="0" w:firstRowLastColumn="0" w:lastRowFirstColumn="0" w:lastRowLastColumn="0"/>
            <w:tcW w:w="2504" w:type="dxa"/>
          </w:tcPr>
          <w:p w14:paraId="24BB3726" w14:textId="1205EA96" w:rsidR="007F2F96" w:rsidRPr="00BB79D6" w:rsidRDefault="006502B8" w:rsidP="00BB79D6">
            <w:pPr>
              <w:spacing w:line="360" w:lineRule="auto"/>
              <w:rPr>
                <w:b w:val="0"/>
                <w:bCs w:val="0"/>
                <w:caps w:val="0"/>
                <w:sz w:val="20"/>
                <w:szCs w:val="20"/>
              </w:rPr>
            </w:pPr>
            <w:r w:rsidRPr="00BB79D6">
              <w:rPr>
                <w:b w:val="0"/>
                <w:bCs w:val="0"/>
                <w:caps w:val="0"/>
                <w:sz w:val="20"/>
                <w:szCs w:val="20"/>
              </w:rPr>
              <w:fldChar w:fldCharType="begin"/>
            </w:r>
            <w:r w:rsidR="00717F73" w:rsidRPr="00BB79D6">
              <w:rPr>
                <w:b w:val="0"/>
                <w:bCs w:val="0"/>
                <w:caps w:val="0"/>
                <w:sz w:val="20"/>
                <w:szCs w:val="20"/>
              </w:rPr>
              <w:instrText xml:space="preserve"> ADDIN ZOTERO_ITEM CSL_CITATION {"citationID":"M11kIveK","properties":{"formattedCitation":"(Marchand et al., 2004)","plainCitation":"(Marchand et al., 2004)","noteIndex":0},"citationItems":[{"id":330,"uris":["http://zotero.org/groups/4708236/items/WW96WB7T"],"itemData":{"id":330,"type":"article-journal","abstract":"Tundra ecosystems constitute large stocks of carbon and might therefore, if climate warming releases CO2, induce positive feedback and amplify temperature increase. We studied the effect of a 2.58C temperature increment, induced by controlled infrared irradiation, on various components of the carbon balance of a High Arctic tundra ecosystem at Zackenberg in Northeast Greenland (748N, 218W) over the 1999 growing season. Gross photosynthesis (Pgross), belowground respiration (Rsoil), and canopy respiration (Rcanopy) were regularly determined with closed dynamic CO2 exchange systems, and the whole-growing season C-balance was reconstructed by relating these components to potentially controlling factors (green cover, soil moisture, radiation, soil and canopy temperature, and thawing depth). Thawing depth and green cover increased in heated plots, while soil moisture was not signiﬁcantly affected. Pgross increased 24.2%, owing to both a green cover and a physiological inﬂuence of warming. Belowground respiration was enhanced 33.3%, mainly through direct warming impact and in spite of lower Q10 in the heated plots; the factors controlling Rsoil were day of the year and soil moisture. Rcanopy did not differ signiﬁcantly between treatments, although green cover was higher in the heated plots. This tundra ecosystem acted as a relatively small net sink both under current (0.86 mol CO2 mÀ2) and heated (1.24 mol CO2 mÀ2) conditions. Nevertheless, turnover increased, which was best explained by a combination of direct and indirect temperature effects, and delayed senescence.","container-title":"Arctic, Antarctic, and Alpine Research","DOI":"10.1657/1523-0430(2004)036[0298:ITBLCI]2.0.CO;2","ISSN":"1523-0430, 1938-4246","issue":"3","journalAbbreviation":"Arctic, Antarctic, and Alpine Research","language":"en","page":"298-307","source":"DOI.org (Crossref)","title":"Increased Turnover but Little Change in the Carbon Balance of High-Arctic Tundra Exposed to Whole Growing Season Warming","volume":"36","author":[{"family":"Marchand","given":"Fleur L."},{"family":"Nijs","given":"Ivan"},{"family":"Boeck","given":"Hans J.","non-dropping-particle":"de"},{"family":"Kockelbergh","given":"Fred"},{"family":"Mertens","given":"Sofie"},{"family":"Beyens","given":"Louis"}],"issued":{"date-parts":[["2004",8]]}}}],"schema":"https://github.com/citation-style-language/schema/raw/master/csl-citation.json"} </w:instrText>
            </w:r>
            <w:r w:rsidRPr="00BB79D6">
              <w:rPr>
                <w:b w:val="0"/>
                <w:bCs w:val="0"/>
                <w:caps w:val="0"/>
                <w:sz w:val="20"/>
                <w:szCs w:val="20"/>
              </w:rPr>
              <w:fldChar w:fldCharType="separate"/>
            </w:r>
            <w:r w:rsidR="00717F73" w:rsidRPr="00BB79D6">
              <w:rPr>
                <w:b w:val="0"/>
                <w:bCs w:val="0"/>
                <w:caps w:val="0"/>
                <w:noProof/>
                <w:sz w:val="20"/>
                <w:szCs w:val="20"/>
              </w:rPr>
              <w:t>(Marchand et al., 2004)</w:t>
            </w:r>
            <w:r w:rsidRPr="00BB79D6">
              <w:rPr>
                <w:b w:val="0"/>
                <w:bCs w:val="0"/>
                <w:caps w:val="0"/>
                <w:sz w:val="20"/>
                <w:szCs w:val="20"/>
              </w:rPr>
              <w:fldChar w:fldCharType="end"/>
            </w:r>
          </w:p>
        </w:tc>
        <w:tc>
          <w:tcPr>
            <w:tcW w:w="2199" w:type="dxa"/>
          </w:tcPr>
          <w:p w14:paraId="3D3F6321" w14:textId="2E8A0297" w:rsidR="007F2F96" w:rsidRPr="00BB79D6" w:rsidRDefault="00717F73" w:rsidP="00BB79D6">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BB79D6">
              <w:rPr>
                <w:sz w:val="20"/>
                <w:szCs w:val="20"/>
              </w:rPr>
              <w:t>Zackenberg</w:t>
            </w:r>
            <w:proofErr w:type="spellEnd"/>
            <w:r w:rsidRPr="00BB79D6">
              <w:rPr>
                <w:sz w:val="20"/>
                <w:szCs w:val="20"/>
              </w:rPr>
              <w:t>, NW</w:t>
            </w:r>
            <w:r w:rsidR="00377158" w:rsidRPr="00BB79D6">
              <w:rPr>
                <w:sz w:val="20"/>
                <w:szCs w:val="20"/>
              </w:rPr>
              <w:t xml:space="preserve"> Greenland</w:t>
            </w:r>
          </w:p>
        </w:tc>
        <w:tc>
          <w:tcPr>
            <w:tcW w:w="2826" w:type="dxa"/>
          </w:tcPr>
          <w:p w14:paraId="43CAB6EA" w14:textId="038DFF4B" w:rsidR="007F2F96" w:rsidRPr="00BB79D6" w:rsidRDefault="00132CC4" w:rsidP="00BB79D6">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sidRPr="00BB79D6">
              <w:rPr>
                <w:sz w:val="20"/>
                <w:szCs w:val="20"/>
              </w:rPr>
              <w:t>Mesic mosaic tundra</w:t>
            </w:r>
          </w:p>
        </w:tc>
        <w:tc>
          <w:tcPr>
            <w:tcW w:w="1226" w:type="dxa"/>
          </w:tcPr>
          <w:p w14:paraId="52D80540" w14:textId="65D6C6DB" w:rsidR="007F2F96" w:rsidRPr="00BB79D6" w:rsidRDefault="006F36D3" w:rsidP="00BB79D6">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sidRPr="00BB79D6">
              <w:rPr>
                <w:sz w:val="20"/>
                <w:szCs w:val="20"/>
              </w:rPr>
              <w:t>1999</w:t>
            </w:r>
          </w:p>
        </w:tc>
        <w:tc>
          <w:tcPr>
            <w:tcW w:w="1603" w:type="dxa"/>
          </w:tcPr>
          <w:p w14:paraId="444E44B6" w14:textId="59071FBC" w:rsidR="007F2F96" w:rsidRPr="00BB79D6" w:rsidRDefault="008B7C16" w:rsidP="00BB79D6">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sidRPr="00BB79D6">
              <w:rPr>
                <w:sz w:val="20"/>
                <w:szCs w:val="20"/>
              </w:rPr>
              <w:t>Sink</w:t>
            </w:r>
          </w:p>
        </w:tc>
        <w:tc>
          <w:tcPr>
            <w:tcW w:w="2116" w:type="dxa"/>
          </w:tcPr>
          <w:p w14:paraId="09AED981" w14:textId="19169B8C" w:rsidR="007F2F96" w:rsidRPr="00BB79D6" w:rsidRDefault="008B7C16" w:rsidP="00BB79D6">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sidRPr="00BB79D6">
              <w:rPr>
                <w:sz w:val="20"/>
                <w:szCs w:val="20"/>
              </w:rPr>
              <w:t>↑</w:t>
            </w:r>
          </w:p>
        </w:tc>
        <w:tc>
          <w:tcPr>
            <w:tcW w:w="1560" w:type="dxa"/>
          </w:tcPr>
          <w:p w14:paraId="13DAE61C" w14:textId="4AF7A26A" w:rsidR="007F2F96" w:rsidRPr="00BB79D6" w:rsidRDefault="000E0A8F" w:rsidP="00BB79D6">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BB79D6">
              <w:rPr>
                <w:sz w:val="20"/>
                <w:szCs w:val="20"/>
              </w:rPr>
              <w:t>↑</w:t>
            </w:r>
          </w:p>
        </w:tc>
        <w:tc>
          <w:tcPr>
            <w:tcW w:w="1540" w:type="dxa"/>
          </w:tcPr>
          <w:p w14:paraId="4FBA7525" w14:textId="7742710B" w:rsidR="007F2F96" w:rsidRPr="00BB79D6" w:rsidRDefault="000E0A8F" w:rsidP="00BB79D6">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BB79D6">
              <w:rPr>
                <w:sz w:val="20"/>
                <w:szCs w:val="20"/>
              </w:rPr>
              <w:t>↑</w:t>
            </w:r>
          </w:p>
        </w:tc>
      </w:tr>
      <w:tr w:rsidR="00BB79D6" w:rsidRPr="00BB79D6" w14:paraId="1394DCB5" w14:textId="77777777" w:rsidTr="00BB79D6">
        <w:trPr>
          <w:cnfStyle w:val="000000100000" w:firstRow="0" w:lastRow="0" w:firstColumn="0" w:lastColumn="0" w:oddVBand="0" w:evenVBand="0" w:oddHBand="1"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2504" w:type="dxa"/>
          </w:tcPr>
          <w:p w14:paraId="1866CF8D" w14:textId="77777777" w:rsidR="00BC33D2" w:rsidRPr="00BB79D6" w:rsidRDefault="00BC33D2" w:rsidP="00BB79D6">
            <w:pPr>
              <w:spacing w:line="360" w:lineRule="auto"/>
              <w:rPr>
                <w:b w:val="0"/>
                <w:bCs w:val="0"/>
                <w:caps w:val="0"/>
                <w:sz w:val="20"/>
                <w:szCs w:val="20"/>
              </w:rPr>
            </w:pPr>
            <w:r w:rsidRPr="00BB79D6">
              <w:rPr>
                <w:b w:val="0"/>
                <w:bCs w:val="0"/>
                <w:caps w:val="0"/>
                <w:sz w:val="20"/>
                <w:szCs w:val="20"/>
              </w:rPr>
              <w:fldChar w:fldCharType="begin"/>
            </w:r>
            <w:r w:rsidRPr="00BB79D6">
              <w:rPr>
                <w:b w:val="0"/>
                <w:bCs w:val="0"/>
                <w:caps w:val="0"/>
                <w:sz w:val="20"/>
                <w:szCs w:val="20"/>
              </w:rPr>
              <w:instrText xml:space="preserve"> ADDIN ZOTERO_ITEM CSL_CITATION {"citationID":"X44xTiK5","properties":{"formattedCitation":"(Welker et al., 2004)","plainCitation":"(Welker et al., 2004)","noteIndex":0},"citationItems":[{"id":10803,"uris":["http://zotero.org/groups/4708236/items/SNR86SIJ"],"itemData":{"id":10803,"type":"article-journal","abstract":"Carbon dioxide exchange, soil C and N, leaf mineral nutrition and leaf carbon isotope discrimination (LCID-Δ) were measured in three High Arctic tundra ecosystems over 2 years under ambient and long-term (9 years) warmed (</w:instrText>
            </w:r>
            <w:r w:rsidRPr="00BB79D6">
              <w:rPr>
                <w:rFonts w:ascii="Cambria Math" w:hAnsi="Cambria Math" w:cs="Cambria Math"/>
                <w:b w:val="0"/>
                <w:bCs w:val="0"/>
                <w:caps w:val="0"/>
                <w:sz w:val="20"/>
                <w:szCs w:val="20"/>
              </w:rPr>
              <w:instrText>∼</w:instrText>
            </w:r>
            <w:r w:rsidRPr="00BB79D6">
              <w:rPr>
                <w:b w:val="0"/>
                <w:bCs w:val="0"/>
                <w:caps w:val="0"/>
                <w:sz w:val="20"/>
                <w:szCs w:val="20"/>
              </w:rPr>
              <w:instrText xml:space="preserve">2°C) conditions. These ecosystems are located at Alexandra Fiord (79°N) on Ellesmere Island, Nunavut, and span a soil water gradient; dry, mesic, and wet tundra. Growing season CO2 fluxes (i.e., net ecosystem exchange (NEE), gross ecosystem photosynthesis (GEP), and ecosystem respiration (Re)) were measured using an infrared gas analyzer and winter C losses were estimated by chemical absorption. All three tundra ecosystems lost CO2 to the atmosphere during the winter, ranging from 7 to 12 g CO2-C m−2 season−1 being highest in the wet tundra. The period during the growing season when mesic tundra switch from being a CO2 source to a CO2 sink was increased by 2 weeks because of warming and increases in GEP. Warming during the summer stimulated dry tundra GEP more than Re and thus, NEE was consistently greater under warmed as opposed to ambient temperatures. In mesic tundra, warming stimulated GEP with no effect on Re increasing NEE by </w:instrText>
            </w:r>
            <w:r w:rsidRPr="00BB79D6">
              <w:rPr>
                <w:rFonts w:ascii="Cambria Math" w:hAnsi="Cambria Math" w:cs="Cambria Math"/>
                <w:b w:val="0"/>
                <w:bCs w:val="0"/>
                <w:caps w:val="0"/>
                <w:sz w:val="20"/>
                <w:szCs w:val="20"/>
              </w:rPr>
              <w:instrText>∼</w:instrText>
            </w:r>
            <w:r w:rsidRPr="00BB79D6">
              <w:rPr>
                <w:b w:val="0"/>
                <w:bCs w:val="0"/>
                <w:caps w:val="0"/>
                <w:sz w:val="20"/>
                <w:szCs w:val="20"/>
              </w:rPr>
              <w:instrText xml:space="preserve">10%, especially in the first half of the summer. During the </w:instrText>
            </w:r>
            <w:r w:rsidRPr="00BB79D6">
              <w:rPr>
                <w:rFonts w:ascii="Cambria Math" w:hAnsi="Cambria Math" w:cs="Cambria Math"/>
                <w:b w:val="0"/>
                <w:bCs w:val="0"/>
                <w:caps w:val="0"/>
                <w:sz w:val="20"/>
                <w:szCs w:val="20"/>
              </w:rPr>
              <w:instrText>∼</w:instrText>
            </w:r>
            <w:r w:rsidRPr="00BB79D6">
              <w:rPr>
                <w:b w:val="0"/>
                <w:bCs w:val="0"/>
                <w:caps w:val="0"/>
                <w:sz w:val="20"/>
                <w:szCs w:val="20"/>
              </w:rPr>
              <w:instrText xml:space="preserve">70 days growing season (mid-June–mid-August), the dry and wet tundra ecosystems were net CO2-C sinks (30 and 67 g C m−2 season−1, respectively) and the mesic ecosystem was a net C source (58 g C m−2 season−1) to the atmosphere under ambient temperature conditions, due in part to unusual glacier melt water flooding that occurred in the mesic tundra. Experimental warming during the growing season increased net C uptake by </w:instrText>
            </w:r>
            <w:r w:rsidRPr="00BB79D6">
              <w:rPr>
                <w:rFonts w:ascii="Cambria Math" w:hAnsi="Cambria Math" w:cs="Cambria Math"/>
                <w:b w:val="0"/>
                <w:bCs w:val="0"/>
                <w:caps w:val="0"/>
                <w:sz w:val="20"/>
                <w:szCs w:val="20"/>
              </w:rPr>
              <w:instrText>∼</w:instrText>
            </w:r>
            <w:r w:rsidRPr="00BB79D6">
              <w:rPr>
                <w:b w:val="0"/>
                <w:bCs w:val="0"/>
                <w:caps w:val="0"/>
                <w:sz w:val="20"/>
                <w:szCs w:val="20"/>
              </w:rPr>
              <w:instrText xml:space="preserve">12% in dry tundra, but reduced net C uptake by </w:instrText>
            </w:r>
            <w:r w:rsidRPr="00BB79D6">
              <w:rPr>
                <w:rFonts w:ascii="Cambria Math" w:hAnsi="Cambria Math" w:cs="Cambria Math"/>
                <w:b w:val="0"/>
                <w:bCs w:val="0"/>
                <w:caps w:val="0"/>
                <w:sz w:val="20"/>
                <w:szCs w:val="20"/>
              </w:rPr>
              <w:instrText>∼</w:instrText>
            </w:r>
            <w:r w:rsidRPr="00BB79D6">
              <w:rPr>
                <w:b w:val="0"/>
                <w:bCs w:val="0"/>
                <w:caps w:val="0"/>
                <w:sz w:val="20"/>
                <w:szCs w:val="20"/>
              </w:rPr>
              <w:instrText xml:space="preserve">20% in wet tundra primarily because of greater rates of Re as opposed to lower rates of GEP. Mesic tundra responded to long-term warming with </w:instrText>
            </w:r>
            <w:r w:rsidRPr="00BB79D6">
              <w:rPr>
                <w:rFonts w:ascii="Cambria Math" w:hAnsi="Cambria Math" w:cs="Cambria Math"/>
                <w:b w:val="0"/>
                <w:bCs w:val="0"/>
                <w:caps w:val="0"/>
                <w:sz w:val="20"/>
                <w:szCs w:val="20"/>
              </w:rPr>
              <w:instrText>∼</w:instrText>
            </w:r>
            <w:r w:rsidRPr="00BB79D6">
              <w:rPr>
                <w:b w:val="0"/>
                <w:bCs w:val="0"/>
                <w:caps w:val="0"/>
                <w:sz w:val="20"/>
                <w:szCs w:val="20"/>
              </w:rPr>
              <w:instrText xml:space="preserve">30% increase in GEP with almost no change in Re reducing this tundra type to a slight C source (17 g C m−2 season−1). Warming caused LCID of Dryas integrafolia plants to be higher in dry tundra and lower in Salix arctic plants in mesic and wet tundra. Our findings indicate that: (1) High Arctic ecosystems, which occur in similar mesoclimates, have different net CO2 exchange rates with the atmosphere; (2) long-term warming can increase the net CO2 exchange of High Arctic tundra by stimulating GEP, but it can also reduce net CO2 exchange in some tundra types during the summer by stimulating Re to a greater degree than stimulating GEP; (3) after 9 years of experimental warming, increases in soil carbon and nitrogen are detectable, in part, because of increases in deciduous shrub cover, biomass, and leaf litter inputs; (4) dry tundra increases in GEP, in response to long-term warming, is reflected in D. integrifolia LCID; and (5) the differential carbon exchange responses of dry, mesic, and wet tundra to similar warming magnitudes appear to depend, in part, on the hydrologic (soil water) conditions. Annual net ecosystem CO2-C exchange rates ranged from losses of 64 g C m−2 yr−1 to gains of 55 g C m−2 yr−1. These magnitudes of positive NEE are close to the estimates of NPP for these tundra types in Alexandra Fiord and in other High Arctic locations based on destructive harvests.","container-title":"Global Change Biology","DOI":"10.1111/j.1365-2486.2004.00857.x","ISSN":"1365-2486","issue":"12","language":"en","note":"_eprint: https://onlinelibrary.wiley.com/doi/pdf/10.1111/j.1365-2486.2004.00857.x","page":"1981-1995","source":"Wiley Online Library","title":"CO2 exchange in three Canadian High Arctic ecosystems: response to long-term experimental warming","title-short":"CO2 exchange in three Canadian High Arctic ecosystems","volume":"10","author":[{"family":"Welker","given":"Jeffrey M."},{"family":"Fahnestock","given":"Jace T."},{"family":"Henry","given":"Greg H. R."},{"family":"O'Dea","given":"Kevin W."},{"family":"Chimner","given":"Rodney A."}],"issued":{"date-parts":[["2004"]]}}}],"schema":"https://github.com/citation-style-language/schema/raw/master/csl-citation.json"} </w:instrText>
            </w:r>
            <w:r w:rsidRPr="00BB79D6">
              <w:rPr>
                <w:b w:val="0"/>
                <w:bCs w:val="0"/>
                <w:caps w:val="0"/>
                <w:sz w:val="20"/>
                <w:szCs w:val="20"/>
              </w:rPr>
              <w:fldChar w:fldCharType="separate"/>
            </w:r>
            <w:r w:rsidRPr="00BB79D6">
              <w:rPr>
                <w:b w:val="0"/>
                <w:bCs w:val="0"/>
                <w:caps w:val="0"/>
                <w:noProof/>
                <w:sz w:val="20"/>
                <w:szCs w:val="20"/>
              </w:rPr>
              <w:t>(Welker et al., 2004)</w:t>
            </w:r>
            <w:r w:rsidRPr="00BB79D6">
              <w:rPr>
                <w:b w:val="0"/>
                <w:bCs w:val="0"/>
                <w:caps w:val="0"/>
                <w:sz w:val="20"/>
                <w:szCs w:val="20"/>
              </w:rPr>
              <w:fldChar w:fldCharType="end"/>
            </w:r>
          </w:p>
        </w:tc>
        <w:tc>
          <w:tcPr>
            <w:tcW w:w="2199" w:type="dxa"/>
          </w:tcPr>
          <w:p w14:paraId="3B3513FD" w14:textId="77777777" w:rsidR="00BC33D2" w:rsidRPr="00BB79D6" w:rsidRDefault="00BC33D2" w:rsidP="00BB79D6">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Alexandra Fiord</w:t>
            </w:r>
          </w:p>
        </w:tc>
        <w:tc>
          <w:tcPr>
            <w:tcW w:w="2826" w:type="dxa"/>
          </w:tcPr>
          <w:p w14:paraId="7E4C9A7C" w14:textId="77777777" w:rsidR="00BC33D2" w:rsidRPr="00BB79D6" w:rsidRDefault="00BC33D2" w:rsidP="00BB79D6">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Wet sedge meadow</w:t>
            </w:r>
          </w:p>
          <w:p w14:paraId="5BCF957C" w14:textId="77777777" w:rsidR="00BC33D2" w:rsidRPr="00BB79D6" w:rsidRDefault="00BC33D2" w:rsidP="00BB79D6">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Mesic meadow</w:t>
            </w:r>
          </w:p>
          <w:p w14:paraId="45A69B6D" w14:textId="77777777" w:rsidR="00BC33D2" w:rsidRPr="00BB79D6" w:rsidRDefault="00BC33D2" w:rsidP="00BB79D6">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Xeric heath</w:t>
            </w:r>
          </w:p>
        </w:tc>
        <w:tc>
          <w:tcPr>
            <w:tcW w:w="1226" w:type="dxa"/>
          </w:tcPr>
          <w:p w14:paraId="23A57539" w14:textId="77777777" w:rsidR="00BC33D2" w:rsidRPr="00BB79D6" w:rsidRDefault="00BC33D2" w:rsidP="00BB79D6">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2000- 2001</w:t>
            </w:r>
          </w:p>
        </w:tc>
        <w:tc>
          <w:tcPr>
            <w:tcW w:w="1603" w:type="dxa"/>
          </w:tcPr>
          <w:p w14:paraId="1D8ED045" w14:textId="77777777" w:rsidR="00BC33D2" w:rsidRPr="00BB79D6" w:rsidRDefault="00BC33D2" w:rsidP="00BB79D6">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Sink</w:t>
            </w:r>
          </w:p>
          <w:p w14:paraId="0AD8A243" w14:textId="77777777" w:rsidR="00BC33D2" w:rsidRPr="00BB79D6" w:rsidRDefault="00BC33D2" w:rsidP="00BB79D6">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Source</w:t>
            </w:r>
          </w:p>
          <w:p w14:paraId="33D5AAD9" w14:textId="77777777" w:rsidR="00BC33D2" w:rsidRPr="00BB79D6" w:rsidRDefault="00BC33D2" w:rsidP="00BB79D6">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Sink</w:t>
            </w:r>
          </w:p>
        </w:tc>
        <w:tc>
          <w:tcPr>
            <w:tcW w:w="2116" w:type="dxa"/>
          </w:tcPr>
          <w:p w14:paraId="27081DC0" w14:textId="2B5E2675" w:rsidR="00BC33D2" w:rsidRPr="00BB79D6" w:rsidRDefault="00CE70BC" w:rsidP="00BB79D6">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w:t>
            </w:r>
          </w:p>
          <w:p w14:paraId="7D6A1D32" w14:textId="3B4585C7" w:rsidR="00BC33D2" w:rsidRPr="00BB79D6" w:rsidRDefault="00CE70BC" w:rsidP="00BB79D6">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w:t>
            </w:r>
          </w:p>
          <w:p w14:paraId="6AEF0E2F" w14:textId="65DB3ECA" w:rsidR="00BC33D2" w:rsidRPr="00BB79D6" w:rsidRDefault="00CE70BC" w:rsidP="00BB79D6">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w:t>
            </w:r>
          </w:p>
        </w:tc>
        <w:tc>
          <w:tcPr>
            <w:tcW w:w="1560" w:type="dxa"/>
          </w:tcPr>
          <w:p w14:paraId="70000733" w14:textId="6075B3F8" w:rsidR="00BC33D2" w:rsidRPr="00BB79D6" w:rsidRDefault="00CE70BC" w:rsidP="00BB79D6">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w:t>
            </w:r>
          </w:p>
          <w:p w14:paraId="4C211F8B" w14:textId="7CAA1AAE" w:rsidR="00BC33D2" w:rsidRPr="00BB79D6" w:rsidRDefault="00CE70BC" w:rsidP="00BB79D6">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w:t>
            </w:r>
          </w:p>
          <w:p w14:paraId="2DC4069E" w14:textId="212ECD46" w:rsidR="00BC33D2" w:rsidRPr="00BB79D6" w:rsidRDefault="00CE70BC" w:rsidP="00BB79D6">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w:t>
            </w:r>
          </w:p>
        </w:tc>
        <w:tc>
          <w:tcPr>
            <w:tcW w:w="1540" w:type="dxa"/>
          </w:tcPr>
          <w:p w14:paraId="5F542DE1" w14:textId="77777777" w:rsidR="00BC33D2" w:rsidRPr="00BB79D6" w:rsidRDefault="007637C1" w:rsidP="00BB79D6">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w:t>
            </w:r>
          </w:p>
          <w:p w14:paraId="2EB0D3EC" w14:textId="77777777" w:rsidR="007637C1" w:rsidRPr="00BB79D6" w:rsidRDefault="007637C1" w:rsidP="00BB79D6">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w:t>
            </w:r>
          </w:p>
          <w:p w14:paraId="6A171BDD" w14:textId="50BED462" w:rsidR="007637C1" w:rsidRPr="00BB79D6" w:rsidRDefault="007637C1" w:rsidP="00BB79D6">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w:t>
            </w:r>
          </w:p>
        </w:tc>
      </w:tr>
      <w:tr w:rsidR="00C51E7E" w:rsidRPr="00BB79D6" w14:paraId="142727CF" w14:textId="77777777" w:rsidTr="00BB79D6">
        <w:trPr>
          <w:trHeight w:val="993"/>
        </w:trPr>
        <w:tc>
          <w:tcPr>
            <w:cnfStyle w:val="001000000000" w:firstRow="0" w:lastRow="0" w:firstColumn="1" w:lastColumn="0" w:oddVBand="0" w:evenVBand="0" w:oddHBand="0" w:evenHBand="0" w:firstRowFirstColumn="0" w:firstRowLastColumn="0" w:lastRowFirstColumn="0" w:lastRowLastColumn="0"/>
            <w:tcW w:w="2504" w:type="dxa"/>
          </w:tcPr>
          <w:p w14:paraId="50E3CE84" w14:textId="3E8EFCF2" w:rsidR="00BC33D2" w:rsidRPr="00BB79D6" w:rsidRDefault="00BC33D2" w:rsidP="00BB79D6">
            <w:pPr>
              <w:spacing w:line="360" w:lineRule="auto"/>
              <w:rPr>
                <w:b w:val="0"/>
                <w:bCs w:val="0"/>
                <w:caps w:val="0"/>
                <w:sz w:val="20"/>
                <w:szCs w:val="20"/>
              </w:rPr>
            </w:pPr>
            <w:r w:rsidRPr="00BB79D6">
              <w:rPr>
                <w:b w:val="0"/>
                <w:bCs w:val="0"/>
                <w:caps w:val="0"/>
                <w:sz w:val="20"/>
                <w:szCs w:val="20"/>
              </w:rPr>
              <w:fldChar w:fldCharType="begin"/>
            </w:r>
            <w:r w:rsidR="00717F73" w:rsidRPr="00BB79D6">
              <w:rPr>
                <w:b w:val="0"/>
                <w:bCs w:val="0"/>
                <w:caps w:val="0"/>
                <w:sz w:val="20"/>
                <w:szCs w:val="20"/>
              </w:rPr>
              <w:instrText xml:space="preserve"> ADDIN ZOTERO_ITEM CSL_CITATION {"citationID":"C3NgkIAx","properties":{"formattedCitation":"(Edwards, 2012)","plainCitation":"(Edwards, 2012)","noteIndex":0},"citationItems":[{"id":10810,"uris":["http://zotero.org/groups/4708236/items/WWFLREVX"],"itemData":{"id":10810,"type":"thesis","abstract":"Arctic regions are experiencing faster rates of atmospheric warming than any other biome. Increasing temperatures will affect the biomass, phenology, and composition of Arctic vegetation, which in turn will alter ecosystem functions such as greenhouse gas flux and nutrient cyclin","genre":"M.S. Thesis","language":"eng","note":"DOI: 10.14288/1.0072736","publisher":"University of British Columbia","source":"open.library.ubc.ca","title":"Effects of long-term experimental warming on three High Arctic plant communities","URL":"https://open.library.ubc.ca/soa/cIRcle/collections/ubctheses/24/items/1.0072736","author":[{"family":"Edwards","given":"Marc"}],"accessed":{"date-parts":[["2023",3,13]]},"issued":{"date-parts":[["2012"]]}}}],"schema":"https://github.com/citation-style-language/schema/raw/master/csl-citation.json"} </w:instrText>
            </w:r>
            <w:r w:rsidRPr="00BB79D6">
              <w:rPr>
                <w:b w:val="0"/>
                <w:bCs w:val="0"/>
                <w:caps w:val="0"/>
                <w:sz w:val="20"/>
                <w:szCs w:val="20"/>
              </w:rPr>
              <w:fldChar w:fldCharType="separate"/>
            </w:r>
            <w:r w:rsidRPr="00BB79D6">
              <w:rPr>
                <w:b w:val="0"/>
                <w:bCs w:val="0"/>
                <w:caps w:val="0"/>
                <w:sz w:val="20"/>
                <w:szCs w:val="20"/>
              </w:rPr>
              <w:t>(Edwards, 2012)</w:t>
            </w:r>
            <w:r w:rsidRPr="00BB79D6">
              <w:rPr>
                <w:b w:val="0"/>
                <w:bCs w:val="0"/>
                <w:caps w:val="0"/>
                <w:sz w:val="20"/>
                <w:szCs w:val="20"/>
              </w:rPr>
              <w:fldChar w:fldCharType="end"/>
            </w:r>
          </w:p>
        </w:tc>
        <w:tc>
          <w:tcPr>
            <w:tcW w:w="2199" w:type="dxa"/>
          </w:tcPr>
          <w:p w14:paraId="4E7671B9" w14:textId="77777777" w:rsidR="00BC33D2" w:rsidRPr="00BB79D6" w:rsidRDefault="00BC33D2" w:rsidP="00BB79D6">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sidRPr="00BB79D6">
              <w:rPr>
                <w:sz w:val="20"/>
                <w:szCs w:val="20"/>
              </w:rPr>
              <w:t>Alexandra Fiord</w:t>
            </w:r>
          </w:p>
        </w:tc>
        <w:tc>
          <w:tcPr>
            <w:tcW w:w="2826" w:type="dxa"/>
          </w:tcPr>
          <w:p w14:paraId="30F5A2E5" w14:textId="77777777" w:rsidR="00BC33D2" w:rsidRPr="00BB79D6" w:rsidRDefault="00BC33D2" w:rsidP="00BB79D6">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sidRPr="00BB79D6">
              <w:rPr>
                <w:sz w:val="20"/>
                <w:szCs w:val="20"/>
              </w:rPr>
              <w:t>Wet sedge meadow</w:t>
            </w:r>
          </w:p>
          <w:p w14:paraId="5A76F91E" w14:textId="77777777" w:rsidR="00BC33D2" w:rsidRPr="00BB79D6" w:rsidRDefault="00BC33D2" w:rsidP="00BB79D6">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sidRPr="00BB79D6">
              <w:rPr>
                <w:sz w:val="20"/>
                <w:szCs w:val="20"/>
              </w:rPr>
              <w:t>Mesic meadow</w:t>
            </w:r>
          </w:p>
          <w:p w14:paraId="213FCA25" w14:textId="77777777" w:rsidR="00BC33D2" w:rsidRPr="00BB79D6" w:rsidRDefault="00BC33D2" w:rsidP="00BB79D6">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sidRPr="00BB79D6">
              <w:rPr>
                <w:sz w:val="20"/>
                <w:szCs w:val="20"/>
              </w:rPr>
              <w:t>Xeric heath</w:t>
            </w:r>
          </w:p>
        </w:tc>
        <w:tc>
          <w:tcPr>
            <w:tcW w:w="1226" w:type="dxa"/>
          </w:tcPr>
          <w:p w14:paraId="273AA38B" w14:textId="77777777" w:rsidR="00BC33D2" w:rsidRPr="00BB79D6" w:rsidRDefault="00BC33D2" w:rsidP="00BB79D6">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sidRPr="00BB79D6">
              <w:rPr>
                <w:sz w:val="20"/>
                <w:szCs w:val="20"/>
              </w:rPr>
              <w:t>2011</w:t>
            </w:r>
          </w:p>
        </w:tc>
        <w:tc>
          <w:tcPr>
            <w:tcW w:w="1603" w:type="dxa"/>
          </w:tcPr>
          <w:p w14:paraId="0FA0C485" w14:textId="77777777" w:rsidR="00BC33D2" w:rsidRPr="00BB79D6" w:rsidRDefault="00BC33D2" w:rsidP="00BB79D6">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sidRPr="00BB79D6">
              <w:rPr>
                <w:sz w:val="20"/>
                <w:szCs w:val="20"/>
              </w:rPr>
              <w:t>Sink</w:t>
            </w:r>
          </w:p>
          <w:p w14:paraId="259FDE90" w14:textId="77777777" w:rsidR="00BC33D2" w:rsidRPr="00BB79D6" w:rsidRDefault="00BC33D2" w:rsidP="00BB79D6">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sidRPr="00BB79D6">
              <w:rPr>
                <w:sz w:val="20"/>
                <w:szCs w:val="20"/>
              </w:rPr>
              <w:t>Sink</w:t>
            </w:r>
          </w:p>
          <w:p w14:paraId="0129EF4A" w14:textId="77777777" w:rsidR="00BC33D2" w:rsidRPr="00BB79D6" w:rsidRDefault="00BC33D2" w:rsidP="00BB79D6">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sidRPr="00BB79D6">
              <w:rPr>
                <w:sz w:val="20"/>
                <w:szCs w:val="20"/>
              </w:rPr>
              <w:t>Sink</w:t>
            </w:r>
          </w:p>
        </w:tc>
        <w:tc>
          <w:tcPr>
            <w:tcW w:w="2116" w:type="dxa"/>
          </w:tcPr>
          <w:p w14:paraId="40CDAD78" w14:textId="7699A3FD" w:rsidR="00BC33D2" w:rsidRPr="00BB79D6" w:rsidRDefault="00CE70BC" w:rsidP="00BB79D6">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sidRPr="00BB79D6">
              <w:rPr>
                <w:sz w:val="20"/>
                <w:szCs w:val="20"/>
              </w:rPr>
              <w:t>↑</w:t>
            </w:r>
          </w:p>
          <w:p w14:paraId="2D84A84B" w14:textId="1C8D8E1E" w:rsidR="00BC33D2" w:rsidRPr="00BB79D6" w:rsidRDefault="00CE70BC" w:rsidP="00BB79D6">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sidRPr="00BB79D6">
              <w:rPr>
                <w:sz w:val="20"/>
                <w:szCs w:val="20"/>
              </w:rPr>
              <w:t>↓</w:t>
            </w:r>
            <w:r w:rsidR="00BB79D6" w:rsidRPr="00BB79D6">
              <w:rPr>
                <w:sz w:val="20"/>
                <w:szCs w:val="20"/>
              </w:rPr>
              <w:t xml:space="preserve"> (slight</w:t>
            </w:r>
          </w:p>
          <w:p w14:paraId="55390010" w14:textId="306FF375" w:rsidR="00BC33D2" w:rsidRPr="00BB79D6" w:rsidRDefault="00CE70BC" w:rsidP="00BB79D6">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sidRPr="00BB79D6">
              <w:rPr>
                <w:sz w:val="20"/>
                <w:szCs w:val="20"/>
              </w:rPr>
              <w:t>↑</w:t>
            </w:r>
          </w:p>
        </w:tc>
        <w:tc>
          <w:tcPr>
            <w:tcW w:w="1560" w:type="dxa"/>
          </w:tcPr>
          <w:p w14:paraId="06C45635" w14:textId="72E567AC" w:rsidR="00BC33D2" w:rsidRPr="00BB79D6" w:rsidRDefault="00CE70BC" w:rsidP="00BB79D6">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BB79D6">
              <w:rPr>
                <w:sz w:val="20"/>
                <w:szCs w:val="20"/>
              </w:rPr>
              <w:t>↑</w:t>
            </w:r>
          </w:p>
          <w:p w14:paraId="352BF46A" w14:textId="22CF3997" w:rsidR="00BC33D2" w:rsidRPr="00BB79D6" w:rsidRDefault="005567CA" w:rsidP="00BB79D6">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BB79D6">
              <w:rPr>
                <w:sz w:val="20"/>
                <w:szCs w:val="20"/>
              </w:rPr>
              <w:t>–</w:t>
            </w:r>
          </w:p>
          <w:p w14:paraId="724C5315" w14:textId="24E9C8C6" w:rsidR="00BC33D2" w:rsidRPr="00BB79D6" w:rsidRDefault="00CE70BC" w:rsidP="00BB79D6">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BB79D6">
              <w:rPr>
                <w:sz w:val="20"/>
                <w:szCs w:val="20"/>
              </w:rPr>
              <w:t>↑</w:t>
            </w:r>
          </w:p>
        </w:tc>
        <w:tc>
          <w:tcPr>
            <w:tcW w:w="1540" w:type="dxa"/>
          </w:tcPr>
          <w:p w14:paraId="751C3EE4" w14:textId="7EA4923C" w:rsidR="00BC33D2" w:rsidRPr="00BB79D6" w:rsidRDefault="00683622" w:rsidP="00BB79D6">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BB79D6">
              <w:rPr>
                <w:sz w:val="20"/>
                <w:szCs w:val="20"/>
              </w:rPr>
              <w:t>↑</w:t>
            </w:r>
          </w:p>
          <w:p w14:paraId="57A5B12E" w14:textId="147F2593" w:rsidR="00BC33D2" w:rsidRPr="00BB79D6" w:rsidRDefault="00683622" w:rsidP="00BB79D6">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BB79D6">
              <w:rPr>
                <w:sz w:val="20"/>
                <w:szCs w:val="20"/>
              </w:rPr>
              <w:t>–</w:t>
            </w:r>
          </w:p>
          <w:p w14:paraId="0A8B1166" w14:textId="06A71F99" w:rsidR="00BC33D2" w:rsidRPr="00BB79D6" w:rsidRDefault="00683622" w:rsidP="00BB79D6">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BB79D6">
              <w:rPr>
                <w:sz w:val="20"/>
                <w:szCs w:val="20"/>
              </w:rPr>
              <w:t>↑</w:t>
            </w:r>
          </w:p>
        </w:tc>
      </w:tr>
      <w:tr w:rsidR="00BB79D6" w:rsidRPr="00BB79D6" w14:paraId="407F2FF0" w14:textId="77777777" w:rsidTr="00BB79D6">
        <w:trPr>
          <w:cnfStyle w:val="000000100000" w:firstRow="0" w:lastRow="0" w:firstColumn="0" w:lastColumn="0" w:oddVBand="0" w:evenVBand="0" w:oddHBand="1" w:evenHBand="0" w:firstRowFirstColumn="0" w:firstRowLastColumn="0" w:lastRowFirstColumn="0" w:lastRowLastColumn="0"/>
          <w:trHeight w:val="2991"/>
        </w:trPr>
        <w:tc>
          <w:tcPr>
            <w:cnfStyle w:val="001000000000" w:firstRow="0" w:lastRow="0" w:firstColumn="1" w:lastColumn="0" w:oddVBand="0" w:evenVBand="0" w:oddHBand="0" w:evenHBand="0" w:firstRowFirstColumn="0" w:firstRowLastColumn="0" w:lastRowFirstColumn="0" w:lastRowLastColumn="0"/>
            <w:tcW w:w="2504" w:type="dxa"/>
          </w:tcPr>
          <w:p w14:paraId="3D2EFB0E" w14:textId="77777777" w:rsidR="00BC33D2" w:rsidRPr="00BB79D6" w:rsidRDefault="00BC33D2" w:rsidP="00BB79D6">
            <w:pPr>
              <w:spacing w:line="360" w:lineRule="auto"/>
              <w:rPr>
                <w:b w:val="0"/>
                <w:bCs w:val="0"/>
                <w:caps w:val="0"/>
                <w:sz w:val="20"/>
                <w:szCs w:val="20"/>
              </w:rPr>
            </w:pPr>
            <w:r w:rsidRPr="00BB79D6">
              <w:rPr>
                <w:b w:val="0"/>
                <w:bCs w:val="0"/>
                <w:caps w:val="0"/>
                <w:sz w:val="20"/>
                <w:szCs w:val="20"/>
              </w:rPr>
              <w:fldChar w:fldCharType="begin"/>
            </w:r>
            <w:r w:rsidRPr="00BB79D6">
              <w:rPr>
                <w:b w:val="0"/>
                <w:bCs w:val="0"/>
                <w:caps w:val="0"/>
                <w:sz w:val="20"/>
                <w:szCs w:val="20"/>
              </w:rPr>
              <w:instrText xml:space="preserve"> ADDIN ZOTERO_ITEM CSL_CITATION {"citationID":"G8QPTpc4","properties":{"formattedCitation":"(Oberbauer et al., 2007)","plainCitation":"(Oberbauer et al., 2007)","noteIndex":0},"citationItems":[{"id":260,"uris":["http://zotero.org/groups/4708236/items/L6WEC52I"],"itemData":{"id":260,"type":"article-journal","abstract":"Climate warming is expected to differentially affect CO2 exchange of the diverse ecosystems in the Arctic. Quantifying responses of CO2 exchange to warming in these ecosystems will require coordinated experimentation using standard temperature manipulations and measurements. Here, we used the International Tundra Experiment (ITEX) standard warming treatment to determine CO2 flux responses to growing-season warming for ecosystems spanning natural temperature and moisture ranges across the Arctic biome. We used the four North American Arctic ITEX sites (Toolik Lake, Atqasuk, and Barrow [USA] and Alexandra Fiord [Canada]) that span 10° of latitude. At each site, we investigated the CO2 responses to warming in both dry and wet or moist ecosystems. Net ecosystem CO2 exchange (NEE), ecosystem respiration (ER), and gross ecosystem photosynthesis (GEP) were assessed using chamber techniques conducted over 24-h periods sampled regularly throughout the summers of two years at all sites. At Toolik Lake, warming increased net CO2 losses in both moist and dry ecosystems. In contrast, at Atqasuk and Barrow, warming increased net CO2 uptake in wet ecosystems but increased losses from dry ecosystems. At Alexandra Fiord, warming improved net carbon uptake in the moist ecosystem in both years, but in the wet and dry ecosystems uptake increased in one year and decreased the other. Warming generally increased ER, with the largest increases in dry ecosystems. In wet ecosystems, high soil moisture limited increases in respiration relative to increases in photosynthesis. Warming generally increased GEP, with the notable exception of the Toolik Lake moist ecosystem, where warming unexpectedly decreased GEP &gt;25%. Overall, the respiration response determined the effect of warming on ecosystem CO2 balance. Our results provide the first multiple-site comparison of arctic tundra CO2 flux responses to standard warming treatments across a large climate gradient. These results indicate that (1) dry tundra may be initially the most responsive ecosystems to climate warming by virtue of strong increases in ER, (2) moist and wet tundra responses are dampened by higher water tables and soil water contents, and (3) both GEP and ER are responsive to climate warming, but the magnitudes and directions are ecosystem-dependent.","container-title":"Ecological Monographs","ISSN":"0012-9615","issue":"2","note":"publisher: Ecological Society of America","page":"221-238","source":"JSTOR","title":"Tundra CO2 Fluxes in Response to Experimental Warming across Latitudinal and Moisture Gradients","volume":"77","author":[{"family":"Oberbauer","given":"Steven F."},{"family":"Tweedie","given":"Craig E."},{"family":"Welker","given":"Jeff M."},{"family":"Fahnestock","given":"Jace T."},{"family":"Henry","given":"Greg H. R."},{"family":"Webber","given":"Patrick J."},{"family":"Hollister","given":"Robert D."},{"family":"Walker","given":"Marilyn D."},{"family":"Kuchy","given":"Andrea"},{"family":"Elmore","given":"Elizabeth"},{"family":"Starr","given":"Gregory"}],"issued":{"date-parts":[["2007"]]}}}],"schema":"https://github.com/citation-style-language/schema/raw/master/csl-citation.json"} </w:instrText>
            </w:r>
            <w:r w:rsidRPr="00BB79D6">
              <w:rPr>
                <w:b w:val="0"/>
                <w:bCs w:val="0"/>
                <w:caps w:val="0"/>
                <w:sz w:val="20"/>
                <w:szCs w:val="20"/>
              </w:rPr>
              <w:fldChar w:fldCharType="separate"/>
            </w:r>
            <w:r w:rsidRPr="00BB79D6">
              <w:rPr>
                <w:b w:val="0"/>
                <w:bCs w:val="0"/>
                <w:caps w:val="0"/>
                <w:noProof/>
                <w:sz w:val="20"/>
                <w:szCs w:val="20"/>
              </w:rPr>
              <w:t>(Oberbauer et al., 2007)</w:t>
            </w:r>
            <w:r w:rsidRPr="00BB79D6">
              <w:rPr>
                <w:b w:val="0"/>
                <w:bCs w:val="0"/>
                <w:caps w:val="0"/>
                <w:sz w:val="20"/>
                <w:szCs w:val="20"/>
              </w:rPr>
              <w:fldChar w:fldCharType="end"/>
            </w:r>
          </w:p>
        </w:tc>
        <w:tc>
          <w:tcPr>
            <w:tcW w:w="2199" w:type="dxa"/>
          </w:tcPr>
          <w:p w14:paraId="4E620D2B" w14:textId="77777777" w:rsidR="00BC33D2" w:rsidRPr="00BB79D6" w:rsidRDefault="00BC33D2" w:rsidP="00BB79D6">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BB79D6">
              <w:rPr>
                <w:sz w:val="20"/>
                <w:szCs w:val="20"/>
              </w:rPr>
              <w:t>Toolik</w:t>
            </w:r>
            <w:proofErr w:type="spellEnd"/>
            <w:r w:rsidRPr="00BB79D6">
              <w:rPr>
                <w:sz w:val="20"/>
                <w:szCs w:val="20"/>
              </w:rPr>
              <w:t xml:space="preserve"> Lake, AK</w:t>
            </w:r>
          </w:p>
          <w:p w14:paraId="22A01698" w14:textId="77777777" w:rsidR="00BC33D2" w:rsidRPr="00BB79D6" w:rsidRDefault="00BC33D2" w:rsidP="00BB79D6">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p>
          <w:p w14:paraId="728F953D" w14:textId="77777777" w:rsidR="00BC33D2" w:rsidRPr="00BB79D6" w:rsidRDefault="00BC33D2" w:rsidP="00BB79D6">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Alexandra Fiord, NU</w:t>
            </w:r>
          </w:p>
          <w:p w14:paraId="095D4511" w14:textId="77777777" w:rsidR="00BC33D2" w:rsidRPr="00BB79D6" w:rsidRDefault="00BC33D2" w:rsidP="00BB79D6">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p>
          <w:p w14:paraId="5A2F530C" w14:textId="77777777" w:rsidR="00BC33D2" w:rsidRPr="00BB79D6" w:rsidRDefault="00BC33D2" w:rsidP="00BB79D6">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p>
          <w:p w14:paraId="6491E433" w14:textId="77777777" w:rsidR="00BC33D2" w:rsidRPr="00BB79D6" w:rsidRDefault="00BC33D2" w:rsidP="00BB79D6">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BB79D6">
              <w:rPr>
                <w:sz w:val="20"/>
                <w:szCs w:val="20"/>
              </w:rPr>
              <w:t>Utqiagvik</w:t>
            </w:r>
            <w:proofErr w:type="spellEnd"/>
            <w:r w:rsidRPr="00BB79D6">
              <w:rPr>
                <w:sz w:val="20"/>
                <w:szCs w:val="20"/>
              </w:rPr>
              <w:t>, AK</w:t>
            </w:r>
          </w:p>
          <w:p w14:paraId="4BEC677F" w14:textId="77777777" w:rsidR="00BC33D2" w:rsidRPr="00BB79D6" w:rsidRDefault="00BC33D2" w:rsidP="00BB79D6">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p>
          <w:p w14:paraId="474B4D5A" w14:textId="77777777" w:rsidR="00BC33D2" w:rsidRPr="00BB79D6" w:rsidRDefault="00BC33D2" w:rsidP="00BB79D6">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BB79D6">
              <w:rPr>
                <w:sz w:val="20"/>
                <w:szCs w:val="20"/>
              </w:rPr>
              <w:t>Atqasuk</w:t>
            </w:r>
            <w:proofErr w:type="spellEnd"/>
            <w:r w:rsidRPr="00BB79D6">
              <w:rPr>
                <w:sz w:val="20"/>
                <w:szCs w:val="20"/>
              </w:rPr>
              <w:t>, AK</w:t>
            </w:r>
          </w:p>
        </w:tc>
        <w:tc>
          <w:tcPr>
            <w:tcW w:w="2826" w:type="dxa"/>
          </w:tcPr>
          <w:p w14:paraId="2EE343D9" w14:textId="77777777" w:rsidR="00BC33D2" w:rsidRPr="00BB79D6" w:rsidRDefault="00BC33D2" w:rsidP="00BB79D6">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Mesic tussock</w:t>
            </w:r>
          </w:p>
          <w:p w14:paraId="5FAEA09D" w14:textId="77777777" w:rsidR="00BC33D2" w:rsidRPr="00BB79D6" w:rsidRDefault="00BC33D2" w:rsidP="00BB79D6">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Xeric heath</w:t>
            </w:r>
          </w:p>
          <w:p w14:paraId="49549D7F" w14:textId="77777777" w:rsidR="00BC33D2" w:rsidRPr="00BB79D6" w:rsidRDefault="00BC33D2" w:rsidP="00BB79D6">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Wet sedge meadow</w:t>
            </w:r>
          </w:p>
          <w:p w14:paraId="4E2AF1A5" w14:textId="77777777" w:rsidR="00BC33D2" w:rsidRPr="00BB79D6" w:rsidRDefault="00BC33D2" w:rsidP="00BB79D6">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Mesic meadow</w:t>
            </w:r>
          </w:p>
          <w:p w14:paraId="60851EFB" w14:textId="77777777" w:rsidR="00BC33D2" w:rsidRPr="00BB79D6" w:rsidRDefault="00BC33D2" w:rsidP="00BB79D6">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Xeric heath</w:t>
            </w:r>
          </w:p>
          <w:p w14:paraId="6E026D6E" w14:textId="0797D49D" w:rsidR="00BC33D2" w:rsidRPr="00BB79D6" w:rsidRDefault="00BC33D2" w:rsidP="00BB79D6">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 xml:space="preserve">Wet </w:t>
            </w:r>
            <w:r w:rsidR="00C51E7E" w:rsidRPr="00BB79D6">
              <w:rPr>
                <w:sz w:val="20"/>
                <w:szCs w:val="20"/>
              </w:rPr>
              <w:t>tundra</w:t>
            </w:r>
          </w:p>
          <w:p w14:paraId="6E2D0487" w14:textId="05A25170" w:rsidR="00BC33D2" w:rsidRPr="00BB79D6" w:rsidRDefault="00BC33D2" w:rsidP="00BB79D6">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 xml:space="preserve">Dry </w:t>
            </w:r>
            <w:r w:rsidR="00C51E7E" w:rsidRPr="00BB79D6">
              <w:rPr>
                <w:sz w:val="20"/>
                <w:szCs w:val="20"/>
              </w:rPr>
              <w:t>tundra</w:t>
            </w:r>
          </w:p>
          <w:p w14:paraId="50139AB7" w14:textId="7D504CBF" w:rsidR="00BC33D2" w:rsidRPr="00BB79D6" w:rsidRDefault="00BC33D2" w:rsidP="00BB79D6">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 xml:space="preserve">Wet </w:t>
            </w:r>
            <w:r w:rsidR="00C51E7E" w:rsidRPr="00BB79D6">
              <w:rPr>
                <w:sz w:val="20"/>
                <w:szCs w:val="20"/>
              </w:rPr>
              <w:t>tundra</w:t>
            </w:r>
          </w:p>
          <w:p w14:paraId="1B233912" w14:textId="6791DFA7" w:rsidR="00BC33D2" w:rsidRPr="00BB79D6" w:rsidRDefault="00BC33D2" w:rsidP="00BB79D6">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 xml:space="preserve">Dry </w:t>
            </w:r>
            <w:r w:rsidR="00C51E7E" w:rsidRPr="00BB79D6">
              <w:rPr>
                <w:sz w:val="20"/>
                <w:szCs w:val="20"/>
              </w:rPr>
              <w:t>tundra</w:t>
            </w:r>
          </w:p>
        </w:tc>
        <w:tc>
          <w:tcPr>
            <w:tcW w:w="1226" w:type="dxa"/>
          </w:tcPr>
          <w:p w14:paraId="466E873B" w14:textId="061E0A18" w:rsidR="00BC33D2" w:rsidRPr="00BB79D6" w:rsidRDefault="00BC33D2" w:rsidP="00BB79D6">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1997-1998</w:t>
            </w:r>
          </w:p>
          <w:p w14:paraId="4DE932B2" w14:textId="77777777" w:rsidR="00BC33D2" w:rsidRPr="00BB79D6" w:rsidRDefault="00BC33D2" w:rsidP="00BB79D6">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p>
          <w:p w14:paraId="1946B156" w14:textId="2351600D" w:rsidR="00BC33D2" w:rsidRPr="00BB79D6" w:rsidRDefault="00BC33D2" w:rsidP="00BB79D6">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 xml:space="preserve">2000-2001 (Alex, </w:t>
            </w:r>
            <w:proofErr w:type="spellStart"/>
            <w:r w:rsidRPr="00BB79D6">
              <w:rPr>
                <w:sz w:val="20"/>
                <w:szCs w:val="20"/>
              </w:rPr>
              <w:t>Utqiagvik</w:t>
            </w:r>
            <w:proofErr w:type="spellEnd"/>
            <w:r w:rsidRPr="00BB79D6">
              <w:rPr>
                <w:sz w:val="20"/>
                <w:szCs w:val="20"/>
              </w:rPr>
              <w:t xml:space="preserve">, </w:t>
            </w:r>
            <w:proofErr w:type="spellStart"/>
            <w:r w:rsidRPr="00BB79D6">
              <w:rPr>
                <w:sz w:val="20"/>
                <w:szCs w:val="20"/>
              </w:rPr>
              <w:t>Atqasuk</w:t>
            </w:r>
            <w:proofErr w:type="spellEnd"/>
            <w:r w:rsidRPr="00BB79D6">
              <w:rPr>
                <w:sz w:val="20"/>
                <w:szCs w:val="20"/>
              </w:rPr>
              <w:t>)</w:t>
            </w:r>
          </w:p>
        </w:tc>
        <w:tc>
          <w:tcPr>
            <w:tcW w:w="1603" w:type="dxa"/>
          </w:tcPr>
          <w:p w14:paraId="480DEDFC" w14:textId="56123748" w:rsidR="00BC33D2" w:rsidRPr="00BB79D6" w:rsidRDefault="00BC33D2" w:rsidP="00BB79D6">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Source</w:t>
            </w:r>
          </w:p>
          <w:p w14:paraId="04DDAE92" w14:textId="3DB98F7A" w:rsidR="00BC33D2" w:rsidRPr="00BB79D6" w:rsidRDefault="00BC33D2" w:rsidP="00BB79D6">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Source</w:t>
            </w:r>
          </w:p>
          <w:p w14:paraId="596FA9CC" w14:textId="77777777" w:rsidR="00BC33D2" w:rsidRPr="00BB79D6" w:rsidRDefault="00BC33D2" w:rsidP="00BB79D6">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Sink</w:t>
            </w:r>
          </w:p>
          <w:p w14:paraId="2BD1DB5D" w14:textId="77777777" w:rsidR="00BC33D2" w:rsidRPr="00BB79D6" w:rsidRDefault="00BC33D2" w:rsidP="00BB79D6">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Source</w:t>
            </w:r>
          </w:p>
          <w:p w14:paraId="2CD959F9" w14:textId="77777777" w:rsidR="00BC33D2" w:rsidRPr="00BB79D6" w:rsidRDefault="00BC33D2" w:rsidP="00BB79D6">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Sink</w:t>
            </w:r>
          </w:p>
          <w:p w14:paraId="295D8178" w14:textId="77777777" w:rsidR="00BC33D2" w:rsidRPr="00BB79D6" w:rsidRDefault="00BC33D2" w:rsidP="00BB79D6">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Sink</w:t>
            </w:r>
          </w:p>
          <w:p w14:paraId="033CB489" w14:textId="77777777" w:rsidR="00BC33D2" w:rsidRPr="00BB79D6" w:rsidRDefault="00BC33D2" w:rsidP="00BB79D6">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Source</w:t>
            </w:r>
          </w:p>
          <w:p w14:paraId="4AE69A60" w14:textId="77777777" w:rsidR="00BC33D2" w:rsidRPr="00BB79D6" w:rsidRDefault="00BC33D2" w:rsidP="00BB79D6">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Sink</w:t>
            </w:r>
          </w:p>
          <w:p w14:paraId="0BBD2DF8" w14:textId="77777777" w:rsidR="00BC33D2" w:rsidRPr="00BB79D6" w:rsidRDefault="00BC33D2" w:rsidP="00BB79D6">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Source</w:t>
            </w:r>
          </w:p>
        </w:tc>
        <w:tc>
          <w:tcPr>
            <w:tcW w:w="2116" w:type="dxa"/>
          </w:tcPr>
          <w:p w14:paraId="73994C72" w14:textId="5A66A228" w:rsidR="00BC33D2" w:rsidRPr="00BB79D6" w:rsidRDefault="00CE70BC" w:rsidP="00BB79D6">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w:t>
            </w:r>
          </w:p>
          <w:p w14:paraId="5B16AAF2" w14:textId="5CF32402" w:rsidR="00BC33D2" w:rsidRPr="00BB79D6" w:rsidRDefault="00CE70BC" w:rsidP="00BB79D6">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w:t>
            </w:r>
          </w:p>
          <w:p w14:paraId="0FA8F7BC" w14:textId="4517430F" w:rsidR="00BC33D2" w:rsidRPr="00BB79D6" w:rsidRDefault="00B12FD7" w:rsidP="00BB79D6">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w:t>
            </w:r>
            <w:r w:rsidR="006079CF" w:rsidRPr="00BB79D6">
              <w:rPr>
                <w:sz w:val="20"/>
                <w:szCs w:val="20"/>
              </w:rPr>
              <w:t xml:space="preserve"> (across years)</w:t>
            </w:r>
          </w:p>
          <w:p w14:paraId="60349766" w14:textId="12F8AE1E" w:rsidR="00BC33D2" w:rsidRPr="00BB79D6" w:rsidRDefault="00CE70BC" w:rsidP="00BB79D6">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w:t>
            </w:r>
          </w:p>
          <w:p w14:paraId="5CA1156B" w14:textId="1335FB49" w:rsidR="00BC33D2" w:rsidRPr="00BB79D6" w:rsidRDefault="00B12FD7" w:rsidP="00BB79D6">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w:t>
            </w:r>
            <w:r w:rsidR="006079CF" w:rsidRPr="00BB79D6">
              <w:rPr>
                <w:sz w:val="20"/>
                <w:szCs w:val="20"/>
              </w:rPr>
              <w:t xml:space="preserve"> (</w:t>
            </w:r>
            <w:r w:rsidR="00DA5225" w:rsidRPr="00BB79D6">
              <w:rPr>
                <w:sz w:val="20"/>
                <w:szCs w:val="20"/>
              </w:rPr>
              <w:t>years)</w:t>
            </w:r>
            <w:r w:rsidR="006079CF" w:rsidRPr="00BB79D6">
              <w:rPr>
                <w:sz w:val="20"/>
                <w:szCs w:val="20"/>
              </w:rPr>
              <w:t xml:space="preserve"> </w:t>
            </w:r>
          </w:p>
          <w:p w14:paraId="2ABFA342" w14:textId="4C5AA99C" w:rsidR="00BC33D2" w:rsidRPr="00BB79D6" w:rsidRDefault="00CE70BC" w:rsidP="00BB79D6">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w:t>
            </w:r>
          </w:p>
          <w:p w14:paraId="14E6D859" w14:textId="3C5BCF16" w:rsidR="00BC33D2" w:rsidRPr="00BB79D6" w:rsidRDefault="00CE70BC" w:rsidP="00BB79D6">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w:t>
            </w:r>
          </w:p>
          <w:p w14:paraId="770678BD" w14:textId="4FEAA0FF" w:rsidR="00BC33D2" w:rsidRPr="00BB79D6" w:rsidRDefault="00CE70BC" w:rsidP="00BB79D6">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w:t>
            </w:r>
          </w:p>
          <w:p w14:paraId="4E52E385" w14:textId="6E128AAE" w:rsidR="00BB79D6" w:rsidRPr="00BB79D6" w:rsidRDefault="00CE70BC" w:rsidP="00BB79D6">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w:t>
            </w:r>
          </w:p>
        </w:tc>
        <w:tc>
          <w:tcPr>
            <w:tcW w:w="1560" w:type="dxa"/>
          </w:tcPr>
          <w:p w14:paraId="14A9FEEC" w14:textId="4C8A8047" w:rsidR="00BC33D2" w:rsidRPr="00BB79D6" w:rsidRDefault="00CE70BC" w:rsidP="00BB79D6">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w:t>
            </w:r>
          </w:p>
          <w:p w14:paraId="07EDAF64" w14:textId="67D6B054" w:rsidR="00BC33D2" w:rsidRPr="00BB79D6" w:rsidRDefault="00CE70BC" w:rsidP="00BB79D6">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w:t>
            </w:r>
          </w:p>
          <w:p w14:paraId="2198D90C" w14:textId="4934D91E" w:rsidR="00BC33D2" w:rsidRPr="00BB79D6" w:rsidRDefault="00CE70BC" w:rsidP="00BB79D6">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w:t>
            </w:r>
          </w:p>
          <w:p w14:paraId="7D216B4B" w14:textId="12EE03EC" w:rsidR="00BC33D2" w:rsidRPr="00BB79D6" w:rsidRDefault="00CE70BC" w:rsidP="00BB79D6">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w:t>
            </w:r>
          </w:p>
          <w:p w14:paraId="0F0DB351" w14:textId="704AEFBC" w:rsidR="00BC33D2" w:rsidRPr="00BB79D6" w:rsidRDefault="00CE70BC" w:rsidP="00BB79D6">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w:t>
            </w:r>
          </w:p>
          <w:p w14:paraId="30F40DEA" w14:textId="622AF729" w:rsidR="00BC33D2" w:rsidRPr="00BB79D6" w:rsidRDefault="00CE70BC" w:rsidP="00BB79D6">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w:t>
            </w:r>
          </w:p>
          <w:p w14:paraId="163CBB3A" w14:textId="5BF363C3" w:rsidR="00BC33D2" w:rsidRPr="00BB79D6" w:rsidRDefault="00CE70BC" w:rsidP="00BB79D6">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w:t>
            </w:r>
          </w:p>
          <w:p w14:paraId="640BCA61" w14:textId="2B321768" w:rsidR="00BC33D2" w:rsidRPr="00BB79D6" w:rsidRDefault="00B12FD7" w:rsidP="00BB79D6">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w:t>
            </w:r>
          </w:p>
          <w:p w14:paraId="5CEF3EB4" w14:textId="7BC61647" w:rsidR="00BC33D2" w:rsidRPr="00BB79D6" w:rsidRDefault="00CE70BC" w:rsidP="00BB79D6">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w:t>
            </w:r>
          </w:p>
        </w:tc>
        <w:tc>
          <w:tcPr>
            <w:tcW w:w="1540" w:type="dxa"/>
          </w:tcPr>
          <w:p w14:paraId="3C9A26A3" w14:textId="31EBAD20" w:rsidR="00BC33D2" w:rsidRPr="00BB79D6" w:rsidRDefault="00683622" w:rsidP="00BB79D6">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w:t>
            </w:r>
          </w:p>
          <w:p w14:paraId="684E5F99" w14:textId="64DEEE0D" w:rsidR="00BC33D2" w:rsidRPr="00BB79D6" w:rsidRDefault="00683622" w:rsidP="00BB79D6">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w:t>
            </w:r>
          </w:p>
          <w:p w14:paraId="7FAB5BE6" w14:textId="6BF1876E" w:rsidR="00683622" w:rsidRPr="00BB79D6" w:rsidRDefault="00683622" w:rsidP="00BB79D6">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w:t>
            </w:r>
          </w:p>
          <w:p w14:paraId="684CD17D" w14:textId="1C2C4E4A" w:rsidR="00BC33D2" w:rsidRPr="00BB79D6" w:rsidRDefault="00683622" w:rsidP="00BB79D6">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w:t>
            </w:r>
          </w:p>
          <w:p w14:paraId="4B833743" w14:textId="4D749528" w:rsidR="00BC33D2" w:rsidRPr="00BB79D6" w:rsidRDefault="000E0A8F" w:rsidP="00BB79D6">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w:t>
            </w:r>
          </w:p>
          <w:p w14:paraId="7B2601F0" w14:textId="49C44C3C" w:rsidR="00BC33D2" w:rsidRPr="00BB79D6" w:rsidRDefault="000E0A8F" w:rsidP="00BB79D6">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w:t>
            </w:r>
          </w:p>
          <w:p w14:paraId="49F53EDF" w14:textId="77777777" w:rsidR="000E0A8F" w:rsidRPr="00BB79D6" w:rsidRDefault="000E0A8F" w:rsidP="00BB79D6">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w:t>
            </w:r>
          </w:p>
          <w:p w14:paraId="3D450966" w14:textId="77777777" w:rsidR="000E0A8F" w:rsidRPr="00BB79D6" w:rsidRDefault="000E0A8F" w:rsidP="00BB79D6">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w:t>
            </w:r>
          </w:p>
          <w:p w14:paraId="614573FA" w14:textId="6079D74A" w:rsidR="00BC33D2" w:rsidRPr="00BB79D6" w:rsidRDefault="000E0A8F" w:rsidP="00BB79D6">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w:t>
            </w:r>
          </w:p>
        </w:tc>
      </w:tr>
      <w:tr w:rsidR="00C51E7E" w:rsidRPr="00BB79D6" w14:paraId="725DEB8A" w14:textId="77777777" w:rsidTr="00BB79D6">
        <w:trPr>
          <w:trHeight w:val="799"/>
        </w:trPr>
        <w:tc>
          <w:tcPr>
            <w:cnfStyle w:val="001000000000" w:firstRow="0" w:lastRow="0" w:firstColumn="1" w:lastColumn="0" w:oddVBand="0" w:evenVBand="0" w:oddHBand="0" w:evenHBand="0" w:firstRowFirstColumn="0" w:firstRowLastColumn="0" w:lastRowFirstColumn="0" w:lastRowLastColumn="0"/>
            <w:tcW w:w="2504" w:type="dxa"/>
          </w:tcPr>
          <w:p w14:paraId="6A5ED62A" w14:textId="7ACE648A" w:rsidR="00BC33D2" w:rsidRPr="00BB79D6" w:rsidRDefault="00BC33D2" w:rsidP="00BB79D6">
            <w:pPr>
              <w:spacing w:line="360" w:lineRule="auto"/>
              <w:rPr>
                <w:b w:val="0"/>
                <w:bCs w:val="0"/>
                <w:caps w:val="0"/>
                <w:sz w:val="20"/>
                <w:szCs w:val="20"/>
              </w:rPr>
            </w:pPr>
            <w:r w:rsidRPr="00BB79D6">
              <w:rPr>
                <w:b w:val="0"/>
                <w:bCs w:val="0"/>
                <w:caps w:val="0"/>
                <w:sz w:val="20"/>
                <w:szCs w:val="20"/>
              </w:rPr>
              <w:fldChar w:fldCharType="begin"/>
            </w:r>
            <w:r w:rsidRPr="00BB79D6">
              <w:rPr>
                <w:b w:val="0"/>
                <w:bCs w:val="0"/>
                <w:caps w:val="0"/>
                <w:sz w:val="20"/>
                <w:szCs w:val="20"/>
              </w:rPr>
              <w:instrText xml:space="preserve"> ADDIN ZOTERO_ITEM CSL_CITATION {"citationID":"hjL2iZLg","properties":{"formattedCitation":"(J\\uc0\\u243{}nsd\\uc0\\u243{}ttir et al., 2022)","plainCitation":"(Jónsdóttir et al., 2022)","noteIndex":0},"citationItems":[{"id":10812,"uris":["http://zotero.org/groups/4708236/items/3XK2LMWV"],"itemData":{"id":10812,"type":"article-journal","abstract":"In the high Arctic, plant community species composition generally responds slowly to climate warming, whereas less is known about the community functional trait responses and consequences for ecosystem functioning. The slow species turnover and large distribution ranges of many Arctic plant species suggest a significant role of intraspecific trait variability in functional responses to climate change. Here we compare taxonomic and functional community compositional responses to a long-term (17-year) warming experiment in Svalbard, Norway, replicated across three major high Arctic habitats shaped by topography and contrasting snow regimes. We observed taxonomic compositional changes in all plant communities over time. Still, responses to experimental warming were minor and most pronounced in the drier habitats with relatively early snowmelt timing and long growing seasons (Cassiope and Dryas heaths). The habitats were clearly separated in functional trait space, defined by 12 size- and leaf economics-related traits, primarily due to interspecific trait variation. Functional traits also responded to experimental warming, most prominently in the Dryas heath and mostly due to intraspecific trait variation. Leaf area and mass increased and leaf δ15N decreased in response to the warming treatment. Intraspecific trait variability ranged between 30% and 71% of the total trait variation, reflecting the functional resilience of those communities, dominated by long-lived plants, due to either phenotypic plasticity or genotypic variation, which most likely underlies the observed resistance of high Arctic vegetation to climate warming. We further explored the consequences of trait variability for ecosystem functioning by measuring peak season CO2 fluxes. Together, environmental, taxonomic, and functional trait variables explained a large proportion of the variation in net ecosystem exchange (NEE), which increased when intraspecific trait variation was accounted for. In contrast, even though ecosystem respiration and gross ecosystem production both increased in response to warming across habitats, they were mainly driven by the direct kinetic impacts of temperature on plant physiology and biochemical processes. Our study shows that long-term experimental warming has a modest but significant effect on plant community functional trait composition and suggests that intraspecific trait variability is a key feature underlying high Arctic ecosystem resistance to climate warming.","container-title":"Ecological Monographs","DOI":"10.1002/ecm.1555","ISSN":"1557-7015","issue":"1","language":"en","note":"_eprint: https://onlinelibrary.wiley.com/doi/pdf/10.1002/ecm.1555","page":"e1555","source":"Wiley Online Library","title":"Intraspecific trait variability is a key feature underlying high Arctic plant community resistance to climate warming","volume":"93","author":[{"family":"Jónsdóttir","given":"Ingibjörg S."},{"family":"Halbritter","given":"Aud H."},{"family":"Christiansen","given":"Casper T."},{"family":"Althuizen","given":"Inge H. J."},{"family":"Haugum","given":"Siri V."},{"family":"Henn","given":"Jonathan J."},{"family":"Björnsdóttir","given":"Katrín"},{"family":"Maitner","given":"Brian Salvin"},{"family":"Malhi","given":"Yadvinder"},{"family":"Michaletz","given":"Sean T."},{"family":"Roos","given":"Ruben E."},{"family":"Klanderud","given":"Kari"},{"family":"Lee","given":"Hanna"},{"family":"Enquist","given":"Brian J."},{"family":"Vandvik","given":"Vigdis"}],"issued":{"date-parts":[["2022"]]}}}],"schema":"https://github.com/citation-style-language/schema/raw/master/csl-citation.json"} </w:instrText>
            </w:r>
            <w:r w:rsidRPr="00BB79D6">
              <w:rPr>
                <w:b w:val="0"/>
                <w:bCs w:val="0"/>
                <w:caps w:val="0"/>
                <w:sz w:val="20"/>
                <w:szCs w:val="20"/>
              </w:rPr>
              <w:fldChar w:fldCharType="separate"/>
            </w:r>
            <w:r w:rsidRPr="00BB79D6">
              <w:rPr>
                <w:rFonts w:ascii="Calibri" w:cs="Calibri"/>
                <w:b w:val="0"/>
                <w:bCs w:val="0"/>
                <w:caps w:val="0"/>
                <w:sz w:val="20"/>
                <w:szCs w:val="20"/>
                <w:lang w:val="en-US"/>
              </w:rPr>
              <w:t>(</w:t>
            </w:r>
            <w:proofErr w:type="spellStart"/>
            <w:r w:rsidRPr="00BB79D6">
              <w:rPr>
                <w:rFonts w:ascii="Calibri" w:cs="Calibri"/>
                <w:b w:val="0"/>
                <w:bCs w:val="0"/>
                <w:caps w:val="0"/>
                <w:sz w:val="20"/>
                <w:szCs w:val="20"/>
                <w:lang w:val="en-US"/>
              </w:rPr>
              <w:t>Jónsdóttir</w:t>
            </w:r>
            <w:proofErr w:type="spellEnd"/>
            <w:r w:rsidRPr="00BB79D6">
              <w:rPr>
                <w:rFonts w:ascii="Calibri" w:cs="Calibri"/>
                <w:b w:val="0"/>
                <w:bCs w:val="0"/>
                <w:caps w:val="0"/>
                <w:sz w:val="20"/>
                <w:szCs w:val="20"/>
                <w:lang w:val="en-US"/>
              </w:rPr>
              <w:t xml:space="preserve"> et al., 2022)</w:t>
            </w:r>
            <w:r w:rsidRPr="00BB79D6">
              <w:rPr>
                <w:b w:val="0"/>
                <w:bCs w:val="0"/>
                <w:caps w:val="0"/>
                <w:sz w:val="20"/>
                <w:szCs w:val="20"/>
              </w:rPr>
              <w:fldChar w:fldCharType="end"/>
            </w:r>
          </w:p>
        </w:tc>
        <w:tc>
          <w:tcPr>
            <w:tcW w:w="2199" w:type="dxa"/>
          </w:tcPr>
          <w:p w14:paraId="534AEA24" w14:textId="20C21F58" w:rsidR="00BC33D2" w:rsidRPr="00BB79D6" w:rsidRDefault="00BC33D2" w:rsidP="00BB79D6">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BB79D6">
              <w:rPr>
                <w:sz w:val="20"/>
                <w:szCs w:val="20"/>
              </w:rPr>
              <w:t>Endalen</w:t>
            </w:r>
            <w:proofErr w:type="spellEnd"/>
            <w:r w:rsidRPr="00BB79D6">
              <w:rPr>
                <w:sz w:val="20"/>
                <w:szCs w:val="20"/>
              </w:rPr>
              <w:t xml:space="preserve"> Valley, Svalbard</w:t>
            </w:r>
          </w:p>
        </w:tc>
        <w:tc>
          <w:tcPr>
            <w:tcW w:w="2826" w:type="dxa"/>
          </w:tcPr>
          <w:p w14:paraId="7C053B98" w14:textId="182270C4" w:rsidR="00C51E7E" w:rsidRPr="00BB79D6" w:rsidRDefault="00C51E7E" w:rsidP="00BB79D6">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sidRPr="00BB79D6">
              <w:rPr>
                <w:sz w:val="20"/>
                <w:szCs w:val="20"/>
              </w:rPr>
              <w:t xml:space="preserve">Deep </w:t>
            </w:r>
            <w:proofErr w:type="spellStart"/>
            <w:r w:rsidRPr="00BB79D6">
              <w:rPr>
                <w:sz w:val="20"/>
                <w:szCs w:val="20"/>
              </w:rPr>
              <w:t>snowbed</w:t>
            </w:r>
            <w:proofErr w:type="spellEnd"/>
            <w:r w:rsidRPr="00BB79D6">
              <w:rPr>
                <w:sz w:val="20"/>
                <w:szCs w:val="20"/>
              </w:rPr>
              <w:t xml:space="preserve">, </w:t>
            </w:r>
            <w:r w:rsidRPr="00BB79D6">
              <w:rPr>
                <w:i/>
                <w:iCs/>
                <w:sz w:val="20"/>
                <w:szCs w:val="20"/>
              </w:rPr>
              <w:t>Cassiope</w:t>
            </w:r>
            <w:r w:rsidRPr="00BB79D6">
              <w:rPr>
                <w:sz w:val="20"/>
                <w:szCs w:val="20"/>
              </w:rPr>
              <w:t xml:space="preserve"> heath, </w:t>
            </w:r>
            <w:r w:rsidRPr="00BB79D6">
              <w:rPr>
                <w:i/>
                <w:iCs/>
                <w:sz w:val="20"/>
                <w:szCs w:val="20"/>
              </w:rPr>
              <w:t>Dryas</w:t>
            </w:r>
            <w:r w:rsidRPr="00BB79D6">
              <w:rPr>
                <w:sz w:val="20"/>
                <w:szCs w:val="20"/>
              </w:rPr>
              <w:t xml:space="preserve"> heath (least snow).</w:t>
            </w:r>
          </w:p>
        </w:tc>
        <w:tc>
          <w:tcPr>
            <w:tcW w:w="1226" w:type="dxa"/>
          </w:tcPr>
          <w:p w14:paraId="6FCC3239" w14:textId="5E8CE954" w:rsidR="00BC33D2" w:rsidRPr="00BB79D6" w:rsidRDefault="00C51E7E" w:rsidP="00BB79D6">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sidRPr="00BB79D6">
              <w:rPr>
                <w:sz w:val="20"/>
                <w:szCs w:val="20"/>
              </w:rPr>
              <w:t>2018</w:t>
            </w:r>
          </w:p>
        </w:tc>
        <w:tc>
          <w:tcPr>
            <w:tcW w:w="1603" w:type="dxa"/>
          </w:tcPr>
          <w:p w14:paraId="07AFA63A" w14:textId="5F080BBF" w:rsidR="00BC33D2" w:rsidRPr="00BB79D6" w:rsidRDefault="00C51E7E" w:rsidP="00BB79D6">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sidRPr="00BB79D6">
              <w:rPr>
                <w:sz w:val="20"/>
                <w:szCs w:val="20"/>
              </w:rPr>
              <w:t>Source or negligible</w:t>
            </w:r>
          </w:p>
        </w:tc>
        <w:tc>
          <w:tcPr>
            <w:tcW w:w="2116" w:type="dxa"/>
          </w:tcPr>
          <w:p w14:paraId="5CEBFA9B" w14:textId="50DED501" w:rsidR="00BB79D6" w:rsidRPr="00BB79D6" w:rsidRDefault="00CE70BC" w:rsidP="00BB79D6">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sidRPr="00BB79D6">
              <w:rPr>
                <w:sz w:val="20"/>
                <w:szCs w:val="20"/>
              </w:rPr>
              <w:t>↑</w:t>
            </w:r>
            <w:r w:rsidR="00C51E7E" w:rsidRPr="00BB79D6">
              <w:rPr>
                <w:sz w:val="20"/>
                <w:szCs w:val="20"/>
              </w:rPr>
              <w:t xml:space="preserve"> </w:t>
            </w:r>
            <w:r w:rsidR="00C51E7E" w:rsidRPr="00BB79D6">
              <w:rPr>
                <w:i/>
                <w:iCs/>
                <w:sz w:val="20"/>
                <w:szCs w:val="20"/>
              </w:rPr>
              <w:t>in magnitude</w:t>
            </w:r>
            <w:r w:rsidR="00BB79D6">
              <w:rPr>
                <w:sz w:val="20"/>
                <w:szCs w:val="20"/>
              </w:rPr>
              <w:t>,</w:t>
            </w:r>
          </w:p>
          <w:p w14:paraId="7888B9BC" w14:textId="7D91C97F" w:rsidR="00BC33D2" w:rsidRPr="00BB79D6" w:rsidRDefault="00C51E7E" w:rsidP="00BB79D6">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sidRPr="00BB79D6">
              <w:rPr>
                <w:sz w:val="20"/>
                <w:szCs w:val="20"/>
              </w:rPr>
              <w:t>(</w:t>
            </w:r>
            <w:r w:rsidR="00CE70BC" w:rsidRPr="00BB79D6">
              <w:rPr>
                <w:sz w:val="20"/>
                <w:szCs w:val="20"/>
              </w:rPr>
              <w:t>↓</w:t>
            </w:r>
            <w:r w:rsidRPr="00BB79D6">
              <w:rPr>
                <w:sz w:val="20"/>
                <w:szCs w:val="20"/>
              </w:rPr>
              <w:t xml:space="preserve"> when NEE a source)</w:t>
            </w:r>
          </w:p>
        </w:tc>
        <w:tc>
          <w:tcPr>
            <w:tcW w:w="1560" w:type="dxa"/>
          </w:tcPr>
          <w:p w14:paraId="304A6A1E" w14:textId="4AE4DAA1" w:rsidR="00BC33D2" w:rsidRPr="00BB79D6" w:rsidRDefault="00CE70BC" w:rsidP="00BB79D6">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BB79D6">
              <w:rPr>
                <w:sz w:val="20"/>
                <w:szCs w:val="20"/>
              </w:rPr>
              <w:t>↑</w:t>
            </w:r>
          </w:p>
        </w:tc>
        <w:tc>
          <w:tcPr>
            <w:tcW w:w="1540" w:type="dxa"/>
          </w:tcPr>
          <w:p w14:paraId="31D5CE73" w14:textId="6C328384" w:rsidR="00BC33D2" w:rsidRPr="00BB79D6" w:rsidRDefault="000E0A8F" w:rsidP="00BB79D6">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BB79D6">
              <w:rPr>
                <w:sz w:val="20"/>
                <w:szCs w:val="20"/>
              </w:rPr>
              <w:t>↑</w:t>
            </w:r>
          </w:p>
        </w:tc>
      </w:tr>
      <w:tr w:rsidR="00BB79D6" w:rsidRPr="00BB79D6" w14:paraId="755E2846" w14:textId="77777777" w:rsidTr="00BB79D6">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2504" w:type="dxa"/>
          </w:tcPr>
          <w:p w14:paraId="1821FE34" w14:textId="45B51C2B" w:rsidR="00BC33D2" w:rsidRPr="00BB79D6" w:rsidRDefault="00C51E7E" w:rsidP="00BB79D6">
            <w:pPr>
              <w:spacing w:line="360" w:lineRule="auto"/>
              <w:rPr>
                <w:b w:val="0"/>
                <w:bCs w:val="0"/>
                <w:caps w:val="0"/>
                <w:sz w:val="20"/>
                <w:szCs w:val="20"/>
              </w:rPr>
            </w:pPr>
            <w:r w:rsidRPr="00BB79D6">
              <w:rPr>
                <w:b w:val="0"/>
                <w:bCs w:val="0"/>
                <w:caps w:val="0"/>
                <w:sz w:val="20"/>
                <w:szCs w:val="20"/>
              </w:rPr>
              <w:fldChar w:fldCharType="begin"/>
            </w:r>
            <w:r w:rsidRPr="00BB79D6">
              <w:rPr>
                <w:b w:val="0"/>
                <w:bCs w:val="0"/>
                <w:caps w:val="0"/>
                <w:sz w:val="20"/>
                <w:szCs w:val="20"/>
              </w:rPr>
              <w:instrText xml:space="preserve"> ADDIN ZOTERO_ITEM CSL_CITATION {"citationID":"fFvcjoOz","properties":{"formattedCitation":"(Huemmrich et al., 2010)","plainCitation":"(Huemmrich et al., 2010)","noteIndex":0},"citationItems":[{"id":10967,"uris":["http://zotero.org/groups/4708236/items/EL24AAAX"],"itemData":{"id":10967,"type":"article-journal","abstract":"To understand the effects of environmental change on tundra carbon balance, a manipulation experiment was performed in wet sedge tundra near Barrow, Alaska. Three replicates of six environmental treatments were made: control, heating, raising or lowering water table, and heating along with raising or lowering water table. Carbon fluxes were measured using a portable chamber for six days during the 2001 growing season. Spectral reflectance and meteorological measurements were also collected. Empirical models derived from flux measurements were developed for daily gross ecosystem production (GEP) and ecosystem respiration (Re). The amount of photosynthetically active radiation absorbed by the plants was strongly correlated with GEP. This relationship was not affected by treatment or time during the growing season. Re was related to soil temperature with a different relationship for each water level treatment. Re in the lowered water table treatment had a strong response to temperature changes, while the raised water table treatment showed little temperature response. These models calculated daily net ecosystem exchange for all of the treatments over the growing season. Warming increased both the seasonal carbon gain and carbon loss. By the end of summer the lowered water table treatments, both heated and unheated, were net carbon sources while all other treatments were sinks. Warming and/or raising the water table increased the strength of the net sink. Over the timescale of this experiment, water table primarily determined whether the ecosystem was a source or sink, with temperature modifying the strength of the source or sink.","container-title":"Journal of Geophysical Research: Biogeosciences","DOI":"10.1029/2009JG001237","ISSN":"2156-2202","issue":"G4","language":"en","note":"_eprint: https://onlinelibrary.wiley.com/doi/pdf/10.1029/2009JG001237","source":"Wiley Online Library","title":"Tundra carbon balance under varying temperature and moisture regimes","URL":"https://onlinelibrary.wiley.com/doi/abs/10.1029/2009JG001237","volume":"115","author":[{"family":"Huemmrich","given":"K. F."},{"family":"Kinoshita","given":"G."},{"family":"Gamon","given":"J. A."},{"family":"Houston","given":"S."},{"family":"Kwon","given":"H."},{"family":"Oechel","given":"W. C."}],"accessed":{"date-parts":[["2023",3,24]]},"issued":{"date-parts":[["2010"]]}}}],"schema":"https://github.com/citation-style-language/schema/raw/master/csl-citation.json"} </w:instrText>
            </w:r>
            <w:r w:rsidRPr="00BB79D6">
              <w:rPr>
                <w:b w:val="0"/>
                <w:bCs w:val="0"/>
                <w:caps w:val="0"/>
                <w:sz w:val="20"/>
                <w:szCs w:val="20"/>
              </w:rPr>
              <w:fldChar w:fldCharType="separate"/>
            </w:r>
            <w:r w:rsidRPr="00BB79D6">
              <w:rPr>
                <w:b w:val="0"/>
                <w:bCs w:val="0"/>
                <w:caps w:val="0"/>
                <w:noProof/>
                <w:sz w:val="20"/>
                <w:szCs w:val="20"/>
              </w:rPr>
              <w:t>(Huemmrich et al., 2010)</w:t>
            </w:r>
            <w:r w:rsidRPr="00BB79D6">
              <w:rPr>
                <w:b w:val="0"/>
                <w:bCs w:val="0"/>
                <w:caps w:val="0"/>
                <w:sz w:val="20"/>
                <w:szCs w:val="20"/>
              </w:rPr>
              <w:fldChar w:fldCharType="end"/>
            </w:r>
          </w:p>
        </w:tc>
        <w:tc>
          <w:tcPr>
            <w:tcW w:w="2199" w:type="dxa"/>
          </w:tcPr>
          <w:p w14:paraId="6B21C81C" w14:textId="5E20A044" w:rsidR="00BC33D2" w:rsidRPr="00BB79D6" w:rsidRDefault="00C51E7E" w:rsidP="00BB79D6">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BB79D6">
              <w:rPr>
                <w:sz w:val="20"/>
                <w:szCs w:val="20"/>
              </w:rPr>
              <w:t>Utqiagvik</w:t>
            </w:r>
            <w:proofErr w:type="spellEnd"/>
            <w:r w:rsidRPr="00BB79D6">
              <w:rPr>
                <w:sz w:val="20"/>
                <w:szCs w:val="20"/>
              </w:rPr>
              <w:t>, AK</w:t>
            </w:r>
          </w:p>
        </w:tc>
        <w:tc>
          <w:tcPr>
            <w:tcW w:w="2826" w:type="dxa"/>
          </w:tcPr>
          <w:p w14:paraId="0A06D55C" w14:textId="0018E4EC" w:rsidR="00BC33D2" w:rsidRPr="00BB79D6" w:rsidRDefault="00C51E7E" w:rsidP="00BB79D6">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Wet sedge tundra</w:t>
            </w:r>
          </w:p>
        </w:tc>
        <w:tc>
          <w:tcPr>
            <w:tcW w:w="1226" w:type="dxa"/>
          </w:tcPr>
          <w:p w14:paraId="4333CF36" w14:textId="7F7DF1DC" w:rsidR="00BC33D2" w:rsidRPr="00BB79D6" w:rsidRDefault="00C51E7E" w:rsidP="00BB79D6">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1999-2001</w:t>
            </w:r>
          </w:p>
        </w:tc>
        <w:tc>
          <w:tcPr>
            <w:tcW w:w="1603" w:type="dxa"/>
          </w:tcPr>
          <w:p w14:paraId="35A12B93" w14:textId="52319440" w:rsidR="00BC33D2" w:rsidRPr="00BB79D6" w:rsidRDefault="00C51E7E" w:rsidP="00BB79D6">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Sink</w:t>
            </w:r>
          </w:p>
        </w:tc>
        <w:tc>
          <w:tcPr>
            <w:tcW w:w="2116" w:type="dxa"/>
          </w:tcPr>
          <w:p w14:paraId="031181E5" w14:textId="607B7F33" w:rsidR="00BC33D2" w:rsidRPr="00BB79D6" w:rsidRDefault="00CE70BC" w:rsidP="00BB79D6">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w:t>
            </w:r>
          </w:p>
        </w:tc>
        <w:tc>
          <w:tcPr>
            <w:tcW w:w="1560" w:type="dxa"/>
          </w:tcPr>
          <w:p w14:paraId="51B0D959" w14:textId="2C81533C" w:rsidR="00BC33D2" w:rsidRPr="00BB79D6" w:rsidRDefault="00CE70BC" w:rsidP="00BB79D6">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w:t>
            </w:r>
          </w:p>
        </w:tc>
        <w:tc>
          <w:tcPr>
            <w:tcW w:w="1540" w:type="dxa"/>
          </w:tcPr>
          <w:p w14:paraId="088F1D27" w14:textId="4B903B5E" w:rsidR="00BC33D2" w:rsidRPr="00BB79D6" w:rsidRDefault="000E0A8F" w:rsidP="00BB79D6">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BB79D6">
              <w:rPr>
                <w:sz w:val="20"/>
                <w:szCs w:val="20"/>
              </w:rPr>
              <w:t>↑</w:t>
            </w:r>
          </w:p>
        </w:tc>
      </w:tr>
    </w:tbl>
    <w:p w14:paraId="3E349837" w14:textId="77777777" w:rsidR="007D75C6" w:rsidRDefault="007D75C6"/>
    <w:tbl>
      <w:tblPr>
        <w:tblStyle w:val="TableGrid"/>
        <w:tblW w:w="9226" w:type="dxa"/>
        <w:tblInd w:w="1271" w:type="dxa"/>
        <w:tblLook w:val="04A0" w:firstRow="1" w:lastRow="0" w:firstColumn="1" w:lastColumn="0" w:noHBand="0" w:noVBand="1"/>
      </w:tblPr>
      <w:tblGrid>
        <w:gridCol w:w="1677"/>
        <w:gridCol w:w="1218"/>
        <w:gridCol w:w="1227"/>
        <w:gridCol w:w="1860"/>
        <w:gridCol w:w="1627"/>
        <w:gridCol w:w="1617"/>
      </w:tblGrid>
      <w:tr w:rsidR="0018137E" w14:paraId="701E27EA" w14:textId="77777777" w:rsidTr="009760ED">
        <w:tc>
          <w:tcPr>
            <w:tcW w:w="1677" w:type="dxa"/>
          </w:tcPr>
          <w:p w14:paraId="7B7609DE" w14:textId="334FE016" w:rsidR="0018137E" w:rsidRPr="0018137E" w:rsidRDefault="00BE7979" w:rsidP="002E6C44">
            <w:pPr>
              <w:spacing w:afterLines="80" w:after="192"/>
              <w:rPr>
                <w:b/>
                <w:bCs/>
              </w:rPr>
            </w:pPr>
            <w:r>
              <w:lastRenderedPageBreak/>
              <w:br w:type="page"/>
            </w:r>
            <w:r w:rsidR="0018137E" w:rsidRPr="0018137E">
              <w:rPr>
                <w:b/>
                <w:bCs/>
              </w:rPr>
              <w:t>Tundra Characteristics</w:t>
            </w:r>
          </w:p>
        </w:tc>
        <w:tc>
          <w:tcPr>
            <w:tcW w:w="1218" w:type="dxa"/>
          </w:tcPr>
          <w:p w14:paraId="7A6582BB" w14:textId="319BA24C" w:rsidR="0018137E" w:rsidRPr="0018137E" w:rsidRDefault="0018137E" w:rsidP="002E6C44">
            <w:pPr>
              <w:spacing w:afterLines="80" w:after="192"/>
              <w:rPr>
                <w:b/>
                <w:bCs/>
              </w:rPr>
            </w:pPr>
            <w:r w:rsidRPr="0018137E">
              <w:rPr>
                <w:b/>
                <w:bCs/>
              </w:rPr>
              <w:t>Recording Year</w:t>
            </w:r>
          </w:p>
        </w:tc>
        <w:tc>
          <w:tcPr>
            <w:tcW w:w="1227" w:type="dxa"/>
          </w:tcPr>
          <w:p w14:paraId="23552E28" w14:textId="66BB84BA" w:rsidR="0018137E" w:rsidRPr="0018137E" w:rsidRDefault="0018137E" w:rsidP="002E6C44">
            <w:pPr>
              <w:spacing w:afterLines="80" w:after="192"/>
              <w:rPr>
                <w:b/>
                <w:bCs/>
              </w:rPr>
            </w:pPr>
            <w:r w:rsidRPr="0018137E">
              <w:rPr>
                <w:b/>
                <w:bCs/>
              </w:rPr>
              <w:t>NEE</w:t>
            </w:r>
          </w:p>
        </w:tc>
        <w:tc>
          <w:tcPr>
            <w:tcW w:w="1860" w:type="dxa"/>
          </w:tcPr>
          <w:p w14:paraId="15D86F81" w14:textId="4343FE39" w:rsidR="0018137E" w:rsidRPr="0018137E" w:rsidRDefault="0018137E" w:rsidP="002E6C44">
            <w:pPr>
              <w:spacing w:afterLines="80" w:after="192"/>
              <w:rPr>
                <w:b/>
                <w:bCs/>
              </w:rPr>
            </w:pPr>
            <w:r w:rsidRPr="0018137E">
              <w:rPr>
                <w:b/>
                <w:bCs/>
              </w:rPr>
              <w:t>NEE-warming response</w:t>
            </w:r>
          </w:p>
        </w:tc>
        <w:tc>
          <w:tcPr>
            <w:tcW w:w="1627" w:type="dxa"/>
          </w:tcPr>
          <w:p w14:paraId="2B3A5978" w14:textId="1E90A52D" w:rsidR="0018137E" w:rsidRPr="0018137E" w:rsidRDefault="0018137E" w:rsidP="002E6C44">
            <w:pPr>
              <w:spacing w:afterLines="80" w:after="192"/>
              <w:rPr>
                <w:b/>
                <w:bCs/>
              </w:rPr>
            </w:pPr>
            <w:r w:rsidRPr="0018137E">
              <w:rPr>
                <w:b/>
                <w:bCs/>
              </w:rPr>
              <w:t>GEP warming response</w:t>
            </w:r>
          </w:p>
        </w:tc>
        <w:tc>
          <w:tcPr>
            <w:tcW w:w="1617" w:type="dxa"/>
          </w:tcPr>
          <w:p w14:paraId="78870D82" w14:textId="7A1EFA19" w:rsidR="0018137E" w:rsidRPr="0018137E" w:rsidRDefault="0018137E" w:rsidP="002E6C44">
            <w:pPr>
              <w:spacing w:afterLines="80" w:after="192"/>
              <w:rPr>
                <w:b/>
                <w:bCs/>
              </w:rPr>
            </w:pPr>
            <w:r w:rsidRPr="0018137E">
              <w:rPr>
                <w:b/>
                <w:bCs/>
              </w:rPr>
              <w:t>ER warming response</w:t>
            </w:r>
          </w:p>
        </w:tc>
      </w:tr>
      <w:tr w:rsidR="0018137E" w14:paraId="67F65937" w14:textId="77777777" w:rsidTr="009760ED">
        <w:tc>
          <w:tcPr>
            <w:tcW w:w="1677" w:type="dxa"/>
          </w:tcPr>
          <w:p w14:paraId="199B8C37" w14:textId="0C547B22" w:rsidR="0018137E" w:rsidRDefault="0018137E" w:rsidP="002E6C44">
            <w:pPr>
              <w:spacing w:afterLines="80" w:after="192"/>
            </w:pPr>
            <w:r>
              <w:t>MEAD</w:t>
            </w:r>
          </w:p>
          <w:p w14:paraId="7F5ED46C" w14:textId="517B32EE" w:rsidR="0018137E" w:rsidRDefault="0018137E" w:rsidP="002E6C44">
            <w:pPr>
              <w:spacing w:afterLines="80" w:after="192"/>
            </w:pPr>
            <w:r>
              <w:t>DRYAS</w:t>
            </w:r>
          </w:p>
          <w:p w14:paraId="74082725" w14:textId="3A37D88C" w:rsidR="0018137E" w:rsidRDefault="0018137E" w:rsidP="002E6C44">
            <w:pPr>
              <w:spacing w:afterLines="80" w:after="192"/>
            </w:pPr>
            <w:r>
              <w:t>WILL</w:t>
            </w:r>
          </w:p>
        </w:tc>
        <w:tc>
          <w:tcPr>
            <w:tcW w:w="1218" w:type="dxa"/>
          </w:tcPr>
          <w:p w14:paraId="77D2B6A4" w14:textId="6C61EF80" w:rsidR="0018137E" w:rsidRDefault="0018137E" w:rsidP="002E6C44">
            <w:pPr>
              <w:spacing w:afterLines="80" w:after="192"/>
            </w:pPr>
            <w:r>
              <w:t>2022</w:t>
            </w:r>
          </w:p>
        </w:tc>
        <w:tc>
          <w:tcPr>
            <w:tcW w:w="1227" w:type="dxa"/>
          </w:tcPr>
          <w:p w14:paraId="69B5A9B0" w14:textId="77777777" w:rsidR="0018137E" w:rsidRDefault="0018137E" w:rsidP="002E6C44">
            <w:pPr>
              <w:spacing w:afterLines="80" w:after="192"/>
            </w:pPr>
            <w:r>
              <w:t>Sink</w:t>
            </w:r>
          </w:p>
          <w:p w14:paraId="793BA55E" w14:textId="1514EA1F" w:rsidR="0018137E" w:rsidRDefault="00991C10" w:rsidP="002E6C44">
            <w:pPr>
              <w:spacing w:afterLines="80" w:after="192"/>
            </w:pPr>
            <w:r>
              <w:t>Sink</w:t>
            </w:r>
          </w:p>
          <w:p w14:paraId="0043FE97" w14:textId="77777777" w:rsidR="0018137E" w:rsidRDefault="0018137E" w:rsidP="002E6C44">
            <w:pPr>
              <w:spacing w:afterLines="80" w:after="192"/>
            </w:pPr>
            <w:r>
              <w:t>Sink</w:t>
            </w:r>
          </w:p>
        </w:tc>
        <w:tc>
          <w:tcPr>
            <w:tcW w:w="1860" w:type="dxa"/>
          </w:tcPr>
          <w:p w14:paraId="4B8A88A6" w14:textId="05432DC2" w:rsidR="0018137E" w:rsidRDefault="00CE70BC" w:rsidP="002E6C44">
            <w:pPr>
              <w:spacing w:afterLines="80" w:after="192"/>
            </w:pPr>
            <w:r>
              <w:t>↑</w:t>
            </w:r>
          </w:p>
          <w:p w14:paraId="1CA91F13" w14:textId="1EB93D0E" w:rsidR="0018137E" w:rsidRDefault="00991C10" w:rsidP="002E6C44">
            <w:pPr>
              <w:spacing w:afterLines="80" w:after="192"/>
            </w:pPr>
            <w:r>
              <w:t>Negligible</w:t>
            </w:r>
          </w:p>
          <w:p w14:paraId="1F19EACE" w14:textId="79374C73" w:rsidR="0018137E" w:rsidRDefault="00CE70BC" w:rsidP="002E6C44">
            <w:pPr>
              <w:spacing w:afterLines="80" w:after="192"/>
            </w:pPr>
            <w:r>
              <w:t>↑</w:t>
            </w:r>
          </w:p>
        </w:tc>
        <w:tc>
          <w:tcPr>
            <w:tcW w:w="1627" w:type="dxa"/>
          </w:tcPr>
          <w:p w14:paraId="40519E94" w14:textId="222F2FB2" w:rsidR="0018137E" w:rsidRDefault="00CE70BC" w:rsidP="002E6C44">
            <w:pPr>
              <w:spacing w:afterLines="80" w:after="192"/>
            </w:pPr>
            <w:r>
              <w:t>↑</w:t>
            </w:r>
          </w:p>
          <w:p w14:paraId="163D6105" w14:textId="11757A30" w:rsidR="0018137E" w:rsidRDefault="00CE70BC" w:rsidP="002E6C44">
            <w:pPr>
              <w:spacing w:afterLines="80" w:after="192"/>
            </w:pPr>
            <w:r>
              <w:t>↑</w:t>
            </w:r>
          </w:p>
          <w:p w14:paraId="4BBFBAB5" w14:textId="5E22C310" w:rsidR="0018137E" w:rsidRDefault="00CE70BC" w:rsidP="002E6C44">
            <w:pPr>
              <w:spacing w:afterLines="80" w:after="192"/>
            </w:pPr>
            <w:r>
              <w:t>↑</w:t>
            </w:r>
          </w:p>
        </w:tc>
        <w:tc>
          <w:tcPr>
            <w:tcW w:w="1617" w:type="dxa"/>
          </w:tcPr>
          <w:p w14:paraId="156A8CF2" w14:textId="1F44091B" w:rsidR="0018137E" w:rsidRDefault="00CE70BC" w:rsidP="002E6C44">
            <w:pPr>
              <w:spacing w:afterLines="80" w:after="192"/>
            </w:pPr>
            <w:r>
              <w:t>↓</w:t>
            </w:r>
          </w:p>
          <w:p w14:paraId="33ADD590" w14:textId="6C1E249A" w:rsidR="0018137E" w:rsidRDefault="00CE70BC" w:rsidP="002E6C44">
            <w:pPr>
              <w:spacing w:afterLines="80" w:after="192"/>
            </w:pPr>
            <w:r>
              <w:t>↓</w:t>
            </w:r>
          </w:p>
          <w:p w14:paraId="2EE6D140" w14:textId="4ED1F4AD" w:rsidR="0018137E" w:rsidRDefault="00CE70BC" w:rsidP="002E6C44">
            <w:pPr>
              <w:spacing w:afterLines="80" w:after="192"/>
            </w:pPr>
            <w:r>
              <w:t>↓</w:t>
            </w:r>
          </w:p>
        </w:tc>
      </w:tr>
      <w:tr w:rsidR="0018137E" w14:paraId="1AA7BEDE" w14:textId="77777777" w:rsidTr="009760ED">
        <w:tc>
          <w:tcPr>
            <w:tcW w:w="1677" w:type="dxa"/>
          </w:tcPr>
          <w:p w14:paraId="2213ACDF" w14:textId="5AA79F96" w:rsidR="0018137E" w:rsidRDefault="0018137E" w:rsidP="002E6C44">
            <w:pPr>
              <w:spacing w:afterLines="80" w:after="192"/>
            </w:pPr>
            <w:r>
              <w:t>MEAD</w:t>
            </w:r>
          </w:p>
          <w:p w14:paraId="67DBB17D" w14:textId="46F055F8" w:rsidR="0018137E" w:rsidRDefault="0018137E" w:rsidP="002E6C44">
            <w:pPr>
              <w:spacing w:afterLines="80" w:after="192"/>
            </w:pPr>
            <w:r>
              <w:t>DRYAS</w:t>
            </w:r>
          </w:p>
          <w:p w14:paraId="72350533" w14:textId="5C93086B" w:rsidR="0018137E" w:rsidRDefault="0018137E" w:rsidP="002E6C44">
            <w:pPr>
              <w:spacing w:afterLines="80" w:after="192"/>
            </w:pPr>
            <w:r>
              <w:t>WILL</w:t>
            </w:r>
          </w:p>
        </w:tc>
        <w:tc>
          <w:tcPr>
            <w:tcW w:w="1218" w:type="dxa"/>
          </w:tcPr>
          <w:p w14:paraId="7715768D" w14:textId="77777777" w:rsidR="0018137E" w:rsidRDefault="0018137E" w:rsidP="002E6C44">
            <w:pPr>
              <w:spacing w:afterLines="80" w:after="192"/>
            </w:pPr>
            <w:r>
              <w:t>2011</w:t>
            </w:r>
          </w:p>
        </w:tc>
        <w:tc>
          <w:tcPr>
            <w:tcW w:w="1227" w:type="dxa"/>
          </w:tcPr>
          <w:p w14:paraId="0D71F756" w14:textId="77777777" w:rsidR="0018137E" w:rsidRDefault="0018137E" w:rsidP="002E6C44">
            <w:pPr>
              <w:spacing w:afterLines="80" w:after="192"/>
            </w:pPr>
            <w:r>
              <w:t>Sink</w:t>
            </w:r>
          </w:p>
          <w:p w14:paraId="682A584F" w14:textId="77777777" w:rsidR="0018137E" w:rsidRDefault="0018137E" w:rsidP="002E6C44">
            <w:pPr>
              <w:spacing w:afterLines="80" w:after="192"/>
            </w:pPr>
            <w:r>
              <w:t>Sink</w:t>
            </w:r>
          </w:p>
          <w:p w14:paraId="3B8AC623" w14:textId="77777777" w:rsidR="0018137E" w:rsidRDefault="0018137E" w:rsidP="002E6C44">
            <w:pPr>
              <w:spacing w:afterLines="80" w:after="192"/>
            </w:pPr>
            <w:r>
              <w:t>Sink</w:t>
            </w:r>
          </w:p>
        </w:tc>
        <w:tc>
          <w:tcPr>
            <w:tcW w:w="1860" w:type="dxa"/>
          </w:tcPr>
          <w:p w14:paraId="55DFF4B8" w14:textId="4587DC9B" w:rsidR="0018137E" w:rsidRDefault="00CE70BC" w:rsidP="002E6C44">
            <w:pPr>
              <w:spacing w:afterLines="80" w:after="192"/>
            </w:pPr>
            <w:r>
              <w:t>↑</w:t>
            </w:r>
          </w:p>
          <w:p w14:paraId="0BBC260A" w14:textId="2B837DC1" w:rsidR="0018137E" w:rsidRDefault="0018137E" w:rsidP="002E6C44">
            <w:pPr>
              <w:spacing w:afterLines="80" w:after="192"/>
            </w:pPr>
            <w:r>
              <w:t xml:space="preserve">(slight) </w:t>
            </w:r>
            <w:r w:rsidR="00CE70BC">
              <w:t>↓</w:t>
            </w:r>
          </w:p>
          <w:p w14:paraId="4C0C1663" w14:textId="59045D15" w:rsidR="0018137E" w:rsidRDefault="00CE70BC" w:rsidP="002E6C44">
            <w:pPr>
              <w:spacing w:afterLines="80" w:after="192"/>
            </w:pPr>
            <w:r>
              <w:t>↑</w:t>
            </w:r>
          </w:p>
        </w:tc>
        <w:tc>
          <w:tcPr>
            <w:tcW w:w="1627" w:type="dxa"/>
          </w:tcPr>
          <w:p w14:paraId="06C3BC1E" w14:textId="5159E432" w:rsidR="0018137E" w:rsidRDefault="00CE70BC" w:rsidP="002E6C44">
            <w:pPr>
              <w:spacing w:afterLines="80" w:after="192"/>
            </w:pPr>
            <w:r>
              <w:t>↑</w:t>
            </w:r>
          </w:p>
          <w:p w14:paraId="1E1490CF" w14:textId="77777777" w:rsidR="0018137E" w:rsidRDefault="0018137E" w:rsidP="002E6C44">
            <w:pPr>
              <w:spacing w:afterLines="80" w:after="192"/>
            </w:pPr>
            <w:r>
              <w:t>Negligible</w:t>
            </w:r>
          </w:p>
          <w:p w14:paraId="16041ABC" w14:textId="4E4F40B5" w:rsidR="0018137E" w:rsidRDefault="00CE70BC" w:rsidP="002E6C44">
            <w:pPr>
              <w:spacing w:afterLines="80" w:after="192"/>
            </w:pPr>
            <w:r>
              <w:t>↑</w:t>
            </w:r>
          </w:p>
        </w:tc>
        <w:tc>
          <w:tcPr>
            <w:tcW w:w="1617" w:type="dxa"/>
          </w:tcPr>
          <w:p w14:paraId="3682675A" w14:textId="2C2DC34F" w:rsidR="0018137E" w:rsidRDefault="00CE70BC" w:rsidP="002E6C44">
            <w:pPr>
              <w:spacing w:afterLines="80" w:after="192"/>
            </w:pPr>
            <w:r>
              <w:t>↓</w:t>
            </w:r>
          </w:p>
          <w:p w14:paraId="43C3C55B" w14:textId="77777777" w:rsidR="0018137E" w:rsidRDefault="0018137E" w:rsidP="002E6C44">
            <w:pPr>
              <w:spacing w:afterLines="80" w:after="192"/>
            </w:pPr>
            <w:r>
              <w:t>Negligible</w:t>
            </w:r>
          </w:p>
          <w:p w14:paraId="48770FD8" w14:textId="0E110501" w:rsidR="0018137E" w:rsidRDefault="00CE70BC" w:rsidP="002E6C44">
            <w:pPr>
              <w:spacing w:afterLines="80" w:after="192"/>
            </w:pPr>
            <w:r>
              <w:t>↓</w:t>
            </w:r>
          </w:p>
        </w:tc>
      </w:tr>
      <w:tr w:rsidR="0018137E" w14:paraId="7121B408" w14:textId="77777777" w:rsidTr="009760ED">
        <w:tc>
          <w:tcPr>
            <w:tcW w:w="1677" w:type="dxa"/>
          </w:tcPr>
          <w:p w14:paraId="41890EE2" w14:textId="156ECB1E" w:rsidR="0018137E" w:rsidRDefault="0018137E" w:rsidP="002E6C44">
            <w:pPr>
              <w:spacing w:afterLines="80" w:after="192"/>
            </w:pPr>
            <w:r>
              <w:t>MEAD</w:t>
            </w:r>
          </w:p>
          <w:p w14:paraId="420CDD73" w14:textId="414C3AE3" w:rsidR="0018137E" w:rsidRDefault="0018137E" w:rsidP="002E6C44">
            <w:pPr>
              <w:spacing w:afterLines="80" w:after="192"/>
            </w:pPr>
            <w:r>
              <w:t>DRYAS</w:t>
            </w:r>
          </w:p>
          <w:p w14:paraId="23642B0D" w14:textId="05BEEDB1" w:rsidR="0018137E" w:rsidRDefault="0018137E" w:rsidP="002E6C44">
            <w:pPr>
              <w:spacing w:afterLines="80" w:after="192"/>
            </w:pPr>
            <w:r>
              <w:t>WILL</w:t>
            </w:r>
          </w:p>
        </w:tc>
        <w:tc>
          <w:tcPr>
            <w:tcW w:w="1218" w:type="dxa"/>
          </w:tcPr>
          <w:p w14:paraId="33A4B76D" w14:textId="4E3AAD51" w:rsidR="0018137E" w:rsidRDefault="0018137E" w:rsidP="002E6C44">
            <w:pPr>
              <w:spacing w:afterLines="80" w:after="192"/>
            </w:pPr>
            <w:r>
              <w:t>2001</w:t>
            </w:r>
          </w:p>
        </w:tc>
        <w:tc>
          <w:tcPr>
            <w:tcW w:w="1227" w:type="dxa"/>
          </w:tcPr>
          <w:p w14:paraId="728BB423" w14:textId="77777777" w:rsidR="0018137E" w:rsidRDefault="0018137E" w:rsidP="002E6C44">
            <w:pPr>
              <w:spacing w:afterLines="80" w:after="192"/>
            </w:pPr>
            <w:r>
              <w:t>Sink</w:t>
            </w:r>
          </w:p>
          <w:p w14:paraId="748AA337" w14:textId="77777777" w:rsidR="0018137E" w:rsidRDefault="0018137E" w:rsidP="002E6C44">
            <w:pPr>
              <w:spacing w:afterLines="80" w:after="192"/>
            </w:pPr>
            <w:r>
              <w:t>Source</w:t>
            </w:r>
          </w:p>
          <w:p w14:paraId="23998FC3" w14:textId="5260DA12" w:rsidR="0018137E" w:rsidRDefault="0018137E" w:rsidP="002E6C44">
            <w:pPr>
              <w:spacing w:afterLines="80" w:after="192"/>
            </w:pPr>
            <w:r>
              <w:t>Sink</w:t>
            </w:r>
          </w:p>
        </w:tc>
        <w:tc>
          <w:tcPr>
            <w:tcW w:w="1860" w:type="dxa"/>
          </w:tcPr>
          <w:p w14:paraId="72FC867C" w14:textId="2FFEB60D" w:rsidR="0018137E" w:rsidRDefault="00CE70BC" w:rsidP="002E6C44">
            <w:pPr>
              <w:spacing w:afterLines="80" w:after="192"/>
            </w:pPr>
            <w:r>
              <w:t>↓</w:t>
            </w:r>
          </w:p>
          <w:p w14:paraId="5CC02E0B" w14:textId="290F3737" w:rsidR="0018137E" w:rsidRDefault="00CE70BC" w:rsidP="002E6C44">
            <w:pPr>
              <w:spacing w:afterLines="80" w:after="192"/>
            </w:pPr>
            <w:r>
              <w:t>↑</w:t>
            </w:r>
          </w:p>
          <w:p w14:paraId="593140BB" w14:textId="11771A60" w:rsidR="0018137E" w:rsidRDefault="00CE70BC" w:rsidP="002E6C44">
            <w:pPr>
              <w:spacing w:afterLines="80" w:after="192"/>
            </w:pPr>
            <w:r>
              <w:t>↑</w:t>
            </w:r>
          </w:p>
        </w:tc>
        <w:tc>
          <w:tcPr>
            <w:tcW w:w="1627" w:type="dxa"/>
          </w:tcPr>
          <w:p w14:paraId="2E4106E4" w14:textId="26CF2BDE" w:rsidR="0018137E" w:rsidRDefault="00CE70BC" w:rsidP="002E6C44">
            <w:pPr>
              <w:spacing w:afterLines="80" w:after="192"/>
            </w:pPr>
            <w:r>
              <w:t>↓</w:t>
            </w:r>
          </w:p>
          <w:p w14:paraId="0FB22063" w14:textId="034C9D7C" w:rsidR="0018137E" w:rsidRDefault="00CE70BC" w:rsidP="002E6C44">
            <w:pPr>
              <w:spacing w:afterLines="80" w:after="192"/>
            </w:pPr>
            <w:r>
              <w:t>↑</w:t>
            </w:r>
          </w:p>
          <w:p w14:paraId="1C4CAC38" w14:textId="63A5FA35" w:rsidR="0018137E" w:rsidRDefault="00CE70BC" w:rsidP="002E6C44">
            <w:pPr>
              <w:spacing w:afterLines="80" w:after="192"/>
            </w:pPr>
            <w:r>
              <w:t>↑</w:t>
            </w:r>
          </w:p>
        </w:tc>
        <w:tc>
          <w:tcPr>
            <w:tcW w:w="1617" w:type="dxa"/>
          </w:tcPr>
          <w:p w14:paraId="45113380" w14:textId="4F32EA54" w:rsidR="0018137E" w:rsidRDefault="00CE70BC" w:rsidP="002E6C44">
            <w:pPr>
              <w:spacing w:afterLines="80" w:after="192"/>
            </w:pPr>
            <w:r>
              <w:t>↓</w:t>
            </w:r>
          </w:p>
          <w:p w14:paraId="3FF18D8B" w14:textId="17F2C4DE" w:rsidR="0018137E" w:rsidRDefault="00CE70BC" w:rsidP="002E6C44">
            <w:pPr>
              <w:spacing w:afterLines="80" w:after="192"/>
            </w:pPr>
            <w:r>
              <w:t>↓</w:t>
            </w:r>
          </w:p>
          <w:p w14:paraId="2FCD46CB" w14:textId="564160C4" w:rsidR="0018137E" w:rsidRDefault="00CE70BC" w:rsidP="002E6C44">
            <w:pPr>
              <w:spacing w:afterLines="80" w:after="192"/>
            </w:pPr>
            <w:r>
              <w:t>↑</w:t>
            </w:r>
          </w:p>
        </w:tc>
      </w:tr>
      <w:tr w:rsidR="0018137E" w14:paraId="30D9C5DD" w14:textId="77777777" w:rsidTr="009760ED">
        <w:tc>
          <w:tcPr>
            <w:tcW w:w="1677" w:type="dxa"/>
          </w:tcPr>
          <w:p w14:paraId="6C046F0C" w14:textId="71C71C49" w:rsidR="0018137E" w:rsidRDefault="0018137E" w:rsidP="002E6C44">
            <w:pPr>
              <w:spacing w:afterLines="80" w:after="192"/>
            </w:pPr>
            <w:r>
              <w:t>MEAD</w:t>
            </w:r>
          </w:p>
          <w:p w14:paraId="01252290" w14:textId="6A5337F0" w:rsidR="0018137E" w:rsidRDefault="0018137E" w:rsidP="002E6C44">
            <w:pPr>
              <w:spacing w:afterLines="80" w:after="192"/>
            </w:pPr>
            <w:r>
              <w:t>DRYAS</w:t>
            </w:r>
          </w:p>
          <w:p w14:paraId="43F012B7" w14:textId="56352CD6" w:rsidR="0018137E" w:rsidRDefault="0018137E" w:rsidP="002E6C44">
            <w:pPr>
              <w:spacing w:afterLines="80" w:after="192"/>
            </w:pPr>
            <w:r>
              <w:t>WILL</w:t>
            </w:r>
          </w:p>
        </w:tc>
        <w:tc>
          <w:tcPr>
            <w:tcW w:w="1218" w:type="dxa"/>
          </w:tcPr>
          <w:p w14:paraId="6C0AD20A" w14:textId="3BBB106F" w:rsidR="0018137E" w:rsidRDefault="0018137E" w:rsidP="002E6C44">
            <w:pPr>
              <w:spacing w:afterLines="80" w:after="192"/>
            </w:pPr>
            <w:r>
              <w:t>2000</w:t>
            </w:r>
          </w:p>
        </w:tc>
        <w:tc>
          <w:tcPr>
            <w:tcW w:w="1227" w:type="dxa"/>
          </w:tcPr>
          <w:p w14:paraId="127256EB" w14:textId="77777777" w:rsidR="0018137E" w:rsidRDefault="0018137E" w:rsidP="002E6C44">
            <w:pPr>
              <w:spacing w:afterLines="80" w:after="192"/>
            </w:pPr>
            <w:r>
              <w:t>Sink</w:t>
            </w:r>
          </w:p>
          <w:p w14:paraId="477D3669" w14:textId="77777777" w:rsidR="0018137E" w:rsidRDefault="0018137E" w:rsidP="002E6C44">
            <w:pPr>
              <w:spacing w:afterLines="80" w:after="192"/>
            </w:pPr>
            <w:r>
              <w:t>Source</w:t>
            </w:r>
          </w:p>
          <w:p w14:paraId="7628C87C" w14:textId="299D2719" w:rsidR="0018137E" w:rsidRDefault="0018137E" w:rsidP="002E6C44">
            <w:pPr>
              <w:spacing w:afterLines="80" w:after="192"/>
            </w:pPr>
            <w:r>
              <w:t>Sink</w:t>
            </w:r>
          </w:p>
        </w:tc>
        <w:tc>
          <w:tcPr>
            <w:tcW w:w="1860" w:type="dxa"/>
          </w:tcPr>
          <w:p w14:paraId="0CF1B277" w14:textId="5E135FB6" w:rsidR="0018137E" w:rsidRDefault="009A328D" w:rsidP="002E6C44">
            <w:pPr>
              <w:spacing w:afterLines="80" w:after="192"/>
            </w:pPr>
            <w:r>
              <w:t>Negligible</w:t>
            </w:r>
          </w:p>
          <w:p w14:paraId="2F58448A" w14:textId="5E11EA02" w:rsidR="0018137E" w:rsidRDefault="00CE70BC" w:rsidP="002E6C44">
            <w:pPr>
              <w:spacing w:afterLines="80" w:after="192"/>
            </w:pPr>
            <w:r>
              <w:t>↑</w:t>
            </w:r>
          </w:p>
          <w:p w14:paraId="15A02AD2" w14:textId="14CFF7AD" w:rsidR="0018137E" w:rsidRDefault="00CE70BC" w:rsidP="002E6C44">
            <w:pPr>
              <w:spacing w:afterLines="80" w:after="192"/>
            </w:pPr>
            <w:r>
              <w:t>↓</w:t>
            </w:r>
          </w:p>
        </w:tc>
        <w:tc>
          <w:tcPr>
            <w:tcW w:w="1627" w:type="dxa"/>
          </w:tcPr>
          <w:p w14:paraId="03056FF8" w14:textId="0F854729" w:rsidR="0018137E" w:rsidRDefault="00CE70BC" w:rsidP="002E6C44">
            <w:pPr>
              <w:spacing w:afterLines="80" w:after="192"/>
            </w:pPr>
            <w:r>
              <w:t>↑</w:t>
            </w:r>
          </w:p>
          <w:p w14:paraId="02A53166" w14:textId="4B41431D" w:rsidR="0018137E" w:rsidRDefault="00CE70BC" w:rsidP="002E6C44">
            <w:pPr>
              <w:spacing w:afterLines="80" w:after="192"/>
            </w:pPr>
            <w:r>
              <w:t>↑</w:t>
            </w:r>
          </w:p>
          <w:p w14:paraId="3C9771D0" w14:textId="4107A7B3" w:rsidR="0018137E" w:rsidRDefault="00CE70BC" w:rsidP="002E6C44">
            <w:pPr>
              <w:spacing w:afterLines="80" w:after="192"/>
            </w:pPr>
            <w:r>
              <w:t>↑</w:t>
            </w:r>
          </w:p>
        </w:tc>
        <w:tc>
          <w:tcPr>
            <w:tcW w:w="1617" w:type="dxa"/>
          </w:tcPr>
          <w:p w14:paraId="32581D4E" w14:textId="5DDB8CF1" w:rsidR="0018137E" w:rsidRDefault="00CE70BC" w:rsidP="002E6C44">
            <w:pPr>
              <w:spacing w:afterLines="80" w:after="192"/>
            </w:pPr>
            <w:r>
              <w:t>↓</w:t>
            </w:r>
          </w:p>
          <w:p w14:paraId="7968FAFD" w14:textId="00B3424F" w:rsidR="0018137E" w:rsidRDefault="00CE70BC" w:rsidP="002E6C44">
            <w:pPr>
              <w:spacing w:afterLines="80" w:after="192"/>
            </w:pPr>
            <w:r>
              <w:t>↓</w:t>
            </w:r>
          </w:p>
          <w:p w14:paraId="18F602E5" w14:textId="31021439" w:rsidR="0018137E" w:rsidRDefault="001D0EAB" w:rsidP="002E6C44">
            <w:pPr>
              <w:spacing w:afterLines="80" w:after="192"/>
            </w:pPr>
            <w:r>
              <w:t>Negligible</w:t>
            </w:r>
          </w:p>
        </w:tc>
      </w:tr>
    </w:tbl>
    <w:p w14:paraId="5736284F" w14:textId="77777777" w:rsidR="00BE7979" w:rsidRDefault="00BE7979"/>
    <w:sectPr w:rsidR="00BE7979" w:rsidSect="00BB79D6">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3D2"/>
    <w:rsid w:val="000E0A8F"/>
    <w:rsid w:val="00132CC4"/>
    <w:rsid w:val="0018137E"/>
    <w:rsid w:val="001D0EAB"/>
    <w:rsid w:val="001F4257"/>
    <w:rsid w:val="002E6C44"/>
    <w:rsid w:val="00377158"/>
    <w:rsid w:val="00384D7F"/>
    <w:rsid w:val="005567CA"/>
    <w:rsid w:val="005E0547"/>
    <w:rsid w:val="006079CF"/>
    <w:rsid w:val="00622FE7"/>
    <w:rsid w:val="00627287"/>
    <w:rsid w:val="006502B8"/>
    <w:rsid w:val="00683622"/>
    <w:rsid w:val="006927F5"/>
    <w:rsid w:val="006F36D3"/>
    <w:rsid w:val="00717F73"/>
    <w:rsid w:val="00754C86"/>
    <w:rsid w:val="007637C1"/>
    <w:rsid w:val="007D75C6"/>
    <w:rsid w:val="007F2F96"/>
    <w:rsid w:val="00825DF4"/>
    <w:rsid w:val="008B7C16"/>
    <w:rsid w:val="009760ED"/>
    <w:rsid w:val="00991C10"/>
    <w:rsid w:val="009A328D"/>
    <w:rsid w:val="00B12FD7"/>
    <w:rsid w:val="00B62162"/>
    <w:rsid w:val="00BB79D6"/>
    <w:rsid w:val="00BC33D2"/>
    <w:rsid w:val="00BE7979"/>
    <w:rsid w:val="00C51E7E"/>
    <w:rsid w:val="00CE70BC"/>
    <w:rsid w:val="00D0608E"/>
    <w:rsid w:val="00DA5225"/>
    <w:rsid w:val="00E56C08"/>
    <w:rsid w:val="00EB21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70519FD"/>
  <w15:chartTrackingRefBased/>
  <w15:docId w15:val="{4CAFD807-1324-7C4B-81FE-62082E383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3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33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B79D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77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3834</Words>
  <Characters>21858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declanta@student.ubc.ca</dc:creator>
  <cp:keywords/>
  <dc:description/>
  <cp:lastModifiedBy>declanta@student.ubc.ca</cp:lastModifiedBy>
  <cp:revision>31</cp:revision>
  <cp:lastPrinted>2023-04-26T19:18:00Z</cp:lastPrinted>
  <dcterms:created xsi:type="dcterms:W3CDTF">2023-03-30T02:49:00Z</dcterms:created>
  <dcterms:modified xsi:type="dcterms:W3CDTF">2023-04-26T20:30:00Z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id="tCnQ4MMx"/&gt;&lt;style id="http://www.zotero.org/styles/apa" locale="en-CA" hasBibliography="1" bibliographyStyleHasBeenSet="0"/&gt;&lt;prefs&gt;&lt;pref name="fieldType" value="Field"/&gt;&lt;/prefs&gt;&lt;/data&gt;</vt:lpwstr>
  </property>
</Properties>
</file>