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Investment Policy Statement</w:t>
      </w:r>
    </w:p>
    <w:p>
      <w:pPr>
        <w:spacing w:after="120"/>
      </w:pPr>
      <w:r>
        <w:rPr>
          <w:b/>
          <w:bCs/>
        </w:rPr>
        <w:t xml:space="preserve">Client Name: </w:t>
      </w:r>
      <w:r>
        <w:t xml:space="preserve">[Client name]</w:t>
      </w:r>
    </w:p>
    <w:p>
      <w:pPr>
        <w:spacing w:after="120"/>
      </w:pPr>
      <w:r>
        <w:rPr>
          <w:b/>
          <w:bCs/>
        </w:rPr>
        <w:t xml:space="preserve">Risk Tolerance: </w:t>
      </w:r>
      <w:r>
        <w:t xml:space="preserve">[Conservative / Moderate / Moderate Growth / Growth / Aggressive]</w:t>
      </w:r>
    </w:p>
    <w:p>
      <w:pPr>
        <w:spacing w:after="120"/>
      </w:pPr>
      <w:r>
        <w:rPr>
          <w:b/>
          <w:bCs/>
        </w:rPr>
        <w:t xml:space="preserve">Time Horizon (years): </w:t>
      </w:r>
      <w:r>
        <w:t xml:space="preserve">[e.g. 15]</w:t>
      </w:r>
    </w:p>
    <w:p>
      <w:pPr>
        <w:spacing w:after="120"/>
      </w:pPr>
      <w:r>
        <w:rPr>
          <w:b/>
          <w:bCs/>
        </w:rPr>
        <w:t xml:space="preserve">Liquidity Reserve Requirement (%): </w:t>
      </w:r>
      <w:r>
        <w:t xml:space="preserve">[e.g. 5]</w:t>
      </w:r>
    </w:p>
    <w:p>
      <w:pPr>
        <w:spacing w:after="120"/>
      </w:pPr>
      <w:r>
        <w:rPr>
          <w:b/>
          <w:bCs/>
        </w:rPr>
        <w:t xml:space="preserve">Single-Position Limit (%): </w:t>
      </w:r>
      <w:r>
        <w:t xml:space="preserve">[e.g. 10]</w:t>
      </w:r>
    </w:p>
    <w:p>
      <w:pPr>
        <w:pStyle w:val="Heading2"/>
        <w:spacing w:after="120" w:before="280"/>
      </w:pPr>
      <w:r>
        <w:t xml:space="preserve">Constraints</w:t>
      </w:r>
    </w:p>
    <w:p>
      <w:pPr>
        <w:pStyle w:val="ListParagraph"/>
        <w:numPr>
          <w:ilvl w:val="0"/>
          <w:numId w:val="2"/>
        </w:numPr>
      </w:pPr>
      <w:r>
        <w:t xml:space="preserve">[One restriction per bullet -- delete this example]</w:t>
      </w:r>
    </w:p>
    <w:p>
      <w:pPr>
        <w:pStyle w:val="ListParagraph"/>
        <w:numPr>
          <w:ilvl w:val="0"/>
          <w:numId w:val="2"/>
        </w:numPr>
      </w:pPr>
      <w:r>
        <w:t xml:space="preserve">No direct tobacco holdings</w:t>
      </w:r>
    </w:p>
    <w:p>
      <w:pPr>
        <w:pStyle w:val="Heading2"/>
        <w:spacing w:after="120" w:before="280"/>
      </w:pPr>
      <w:r>
        <w:t xml:space="preserve">Target Asset Allocation Bands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shd w:fill="E4EEEA" w:val="clear"/>
          </w:tcPr>
          <w:p>
            <w:r>
              <w:rPr>
                <w:b/>
                <w:bCs/>
              </w:rPr>
              <w:t xml:space="preserve">Asset Class</w:t>
            </w:r>
          </w:p>
        </w:tc>
        <w:tc>
          <w:tcPr>
            <w:tcW w:type="dxa" w:w="4200"/>
            <w:shd w:fill="E4EEEA" w:val="clear"/>
          </w:tcPr>
          <w:p>
            <w:r>
              <w:rPr>
                <w:b/>
                <w:bCs/>
              </w:rPr>
              <w:t xml:space="preserve">Min %</w:t>
            </w:r>
          </w:p>
        </w:tc>
        <w:tc>
          <w:tcPr>
            <w:tcW w:type="dxa" w:w="4200"/>
            <w:shd w:fill="E4EEEA" w:val="clear"/>
          </w:tcPr>
          <w:p>
            <w:r>
              <w:rPr>
                <w:b/>
                <w:bCs/>
              </w:rPr>
              <w:t xml:space="preserve">Max %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US Equity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International Equity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Fixed Income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Cash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Alternatives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2026-09-01T05:46:57.776Z</dcterms:created>
  <dcterms:modified xsi:type="dcterms:W3CDTF">2026-09-01T05:46:57.796Z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