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TASKS for Pet Carer: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Create a new account (pet carer)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Check the information of the group which looking for a member available on Tuesday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Send request to join the group you check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Check the group which named ‘PetLovers’ and collect this 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Check your collection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Check the groups you have joined, and participate in the activity of job vote in Group Akea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Confirm competed the Tasks in your task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Contact and send message to Group 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TASKS for Pet Owner: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Create a new account (pet owner)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Check the detailed contents of the job ‘Feeding’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Create a new task for the job ‘Feeding’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Check the groups you have joined, and browse the message board of Group Akea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Send message to your friend ‘Kate’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Edit your personal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Any barriers? confused? misunderstand?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