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7"/>
        </w:rPr>
        <w:t>MASTER INTERNATIONAL SALES FRAMEWORK AGREEMENT</w:t>
      </w:r>
    </w:p>
    <w:p>
      <w:pPr>
        <w:spacing w:after="80"/>
        <w:jc w:val="center"/>
      </w:pPr>
      <w:r>
        <w:rPr>
          <w:rFonts w:ascii="Times New Roman" w:hAnsi="Times New Roman"/>
          <w:b/>
          <w:color w:val="000000"/>
          <w:sz w:val="24"/>
        </w:rPr>
        <w:t>HỢP ĐỒNG NGUYÊN TẮC MUA BÁN HÀNG HÓA QUỐC TẾ</w:t>
      </w:r>
    </w:p>
    <w:p>
      <w:pPr>
        <w:spacing w:after="200"/>
        <w:jc w:val="center"/>
      </w:pPr>
      <w:r>
        <w:rPr>
          <w:rFonts w:ascii="Times New Roman" w:hAnsi="Times New Roman"/>
          <w:b/>
          <w:color w:val="000000"/>
          <w:sz w:val="20"/>
        </w:rPr>
        <w:t>Contract No. / Số Hợp đồng: GSS-[BUYER_CODE]-[YEAR]-MFA / [SO_HOP_DONG_NGUYEN_TAC]</w:t>
      </w:r>
    </w:p>
    <w:p>
      <w:pPr>
        <w:spacing w:after="30" w:line="276" w:lineRule="auto"/>
      </w:pPr>
      <w:r>
        <w:rPr>
          <w:rFonts w:ascii="Times New Roman" w:hAnsi="Times New Roman"/>
          <w:color w:val="000000"/>
          <w:sz w:val="19"/>
        </w:rPr>
        <w:t xml:space="preserve">- Pursuant to the United Nations Convention on Contracts for the International Sale of Goods (CISG 1980); </w:t>
      </w:r>
      <w:r>
        <w:rPr>
          <w:rFonts w:ascii="Times New Roman" w:hAnsi="Times New Roman"/>
          <w:i/>
          <w:color w:val="000000"/>
          <w:sz w:val="18"/>
        </w:rPr>
        <w:t>(Căn cứ Công ước của Liên Hợp Quốc về Hợp đồng Mua bán Hàng hóa Quốc tế (CISG 1980);)</w:t>
      </w:r>
    </w:p>
    <w:p>
      <w:pPr>
        <w:spacing w:after="30" w:line="276" w:lineRule="auto"/>
      </w:pPr>
      <w:r>
        <w:rPr>
          <w:rFonts w:ascii="Times New Roman" w:hAnsi="Times New Roman"/>
          <w:color w:val="000000"/>
          <w:sz w:val="19"/>
        </w:rPr>
        <w:t xml:space="preserve">- Pursuant to the International Commercial Terms (Incoterms 2020) published by the International Chamber of Commerce (ICC); </w:t>
      </w:r>
      <w:r>
        <w:rPr>
          <w:rFonts w:ascii="Times New Roman" w:hAnsi="Times New Roman"/>
          <w:i/>
          <w:color w:val="000000"/>
          <w:sz w:val="18"/>
        </w:rPr>
        <w:t>(Căn cứ Bộ tập quán thương mại quốc tế về điều kiện giao hàng (Incoterms 2020) do Phòng Thương mại Quốc tế (ICC) ban hành;)</w:t>
      </w:r>
    </w:p>
    <w:p>
      <w:pPr>
        <w:spacing w:after="30" w:line="276" w:lineRule="auto"/>
      </w:pPr>
      <w:r>
        <w:rPr>
          <w:rFonts w:ascii="Times New Roman" w:hAnsi="Times New Roman"/>
          <w:color w:val="000000"/>
          <w:sz w:val="19"/>
        </w:rPr>
        <w:t xml:space="preserve">- Pursuant to the Civil Code No. 91/2015/QH13 and the Commercial Law No. 36/2005/QH11 of the Socialist Republic of Vietnam; </w:t>
      </w:r>
      <w:r>
        <w:rPr>
          <w:rFonts w:ascii="Times New Roman" w:hAnsi="Times New Roman"/>
          <w:i/>
          <w:color w:val="000000"/>
          <w:sz w:val="18"/>
        </w:rPr>
        <w:t>(Căn cứ Bộ luật Dân sự số 91/2015/QH13 và Luật Thương mại số 36/2005/QH11 của nước Cộng hòa Xã hội Chủ nghĩa Việt Nam;)</w:t>
      </w:r>
    </w:p>
    <w:p>
      <w:pPr>
        <w:spacing w:after="30" w:line="276" w:lineRule="auto"/>
      </w:pPr>
      <w:r>
        <w:rPr>
          <w:rFonts w:ascii="Times New Roman" w:hAnsi="Times New Roman"/>
          <w:color w:val="000000"/>
          <w:sz w:val="19"/>
        </w:rPr>
        <w:t xml:space="preserve">- Pursuant to the mutual agreement, lawful capacity, and commercial consensus of both Parties. </w:t>
      </w:r>
      <w:r>
        <w:rPr>
          <w:rFonts w:ascii="Times New Roman" w:hAnsi="Times New Roman"/>
          <w:i/>
          <w:color w:val="000000"/>
          <w:sz w:val="18"/>
        </w:rPr>
        <w:t>(Căn cứ vào sự thỏa thuận tự nguyện, năng lực pháp lý và sự thống nhất ý chí thương mại của hai Bên.)</w:t>
      </w:r>
    </w:p>
    <w:p>
      <w:pPr>
        <w:spacing w:before="120" w:after="120"/>
      </w:pPr>
      <w:r>
        <w:rPr>
          <w:rFonts w:ascii="Times New Roman" w:hAnsi="Times New Roman"/>
          <w:color w:val="000000"/>
          <w:sz w:val="19"/>
        </w:rPr>
        <w:t>This Master International Sales Framework Agreement (hereinafter referred to as the "Agreement") is entered into as of [DATE] / [NGÀY_KÝ] by and between the following Parties:</w:t>
        <w:br/>
      </w:r>
      <w:r>
        <w:rPr>
          <w:rFonts w:ascii="Times New Roman" w:hAnsi="Times New Roman"/>
          <w:i/>
          <w:color w:val="000000"/>
          <w:sz w:val="18"/>
        </w:rPr>
        <w:t>Hợp đồng Nguyên tắc Mua bán Hàng hóa Quốc tế này (sau đây gọi tắt là "Hợp đồng") được xác lập và ký kết vào ngày [DATE] / [NGÀY_KÝ] giữa các Bên dưới đây:</w:t>
      </w:r>
    </w:p>
    <w:tbl>
      <w:tblPr>
        <w:tblW w:type="auto" w:w="0"/>
        <w:jc w:val="center"/>
        <w:tblLook w:firstColumn="1" w:firstRow="1" w:lastColumn="0" w:lastRow="0" w:noHBand="0" w:noVBand="1" w:val="04A0"/>
      </w:tblPr>
      <w:tblGrid>
        <w:gridCol w:w="4896"/>
        <w:gridCol w:w="4896"/>
      </w:tblGrid>
      <w:tr>
        <w:tc>
          <w:tcPr>
            <w:tcW w:type="dxa" w:w="4752"/>
            <w:tcBorders>
              <w:top w:val="single" w:sz="4" w:space="0" w:color="000000"/>
              <w:bottom w:val="single" w:sz="4" w:space="0" w:color="000000"/>
              <w:left w:val="single" w:sz="4" w:space="0" w:color="000000"/>
              <w:right w:val="single" w:sz="4" w:space="0" w:color="000000"/>
            </w:tcBorders>
            <w:shd w:fill="F2F2F2"/>
          </w:tcPr>
          <w:p>
            <w:r>
              <w:rPr>
                <w:rFonts w:ascii="Times New Roman" w:hAnsi="Times New Roman"/>
                <w:b/>
                <w:color w:val="000000"/>
                <w:sz w:val="20"/>
              </w:rPr>
              <w:t>THE SELLER / BÊN BÁN</w:t>
            </w:r>
          </w:p>
        </w:tc>
        <w:tc>
          <w:tcPr>
            <w:tcW w:type="dxa" w:w="4752"/>
            <w:tcBorders>
              <w:top w:val="single" w:sz="4" w:space="0" w:color="000000"/>
              <w:bottom w:val="single" w:sz="4" w:space="0" w:color="000000"/>
              <w:left w:val="single" w:sz="4" w:space="0" w:color="000000"/>
              <w:right w:val="single" w:sz="4" w:space="0" w:color="000000"/>
            </w:tcBorders>
            <w:shd w:fill="F2F2F2"/>
          </w:tcPr>
          <w:p>
            <w:r>
              <w:rPr>
                <w:rFonts w:ascii="Times New Roman" w:hAnsi="Times New Roman"/>
                <w:b/>
                <w:color w:val="000000"/>
                <w:sz w:val="20"/>
              </w:rPr>
              <w:t>THE BUYER / BÊN MUA</w:t>
            </w:r>
          </w:p>
        </w:tc>
      </w:tr>
      <w:tr>
        <w:tc>
          <w:tcPr>
            <w:tcW w:type="dxa" w:w="4896"/>
            <w:tcBorders>
              <w:top w:val="single" w:sz="4" w:space="0" w:color="000000"/>
              <w:bottom w:val="single" w:sz="4" w:space="0" w:color="000000"/>
              <w:left w:val="single" w:sz="4" w:space="0" w:color="000000"/>
              <w:right w:val="single" w:sz="4" w:space="0" w:color="000000"/>
            </w:tcBorders>
          </w:tcPr>
          <w:p>
            <w:r>
              <w:rPr>
                <w:rFonts w:ascii="Times New Roman" w:hAnsi="Times New Roman"/>
                <w:b/>
                <w:color w:val="000000"/>
                <w:sz w:val="17"/>
              </w:rPr>
              <w:t>Name of Seller / Tên Bên Bán:</w:t>
              <w:br/>
            </w:r>
            <w:r>
              <w:rPr>
                <w:rFonts w:ascii="Times New Roman" w:hAnsi="Times New Roman"/>
                <w:color w:val="000000"/>
                <w:sz w:val="17"/>
              </w:rPr>
              <w:t>GLOBAL SOLUTION SERVICE COMPANY LIMITED (G-SS CO.,LTD)</w:t>
              <w:br/>
              <w:t>CÔNG TY TNHH GLOBAL SOLUTION SERVICE</w:t>
              <w:br/>
              <w:br/>
            </w:r>
            <w:r>
              <w:rPr>
                <w:rFonts w:ascii="Times New Roman" w:hAnsi="Times New Roman"/>
                <w:b/>
                <w:color w:val="000000"/>
                <w:sz w:val="17"/>
              </w:rPr>
              <w:t>Tax Identification No. / Mã số thuế:</w:t>
              <w:br/>
            </w:r>
            <w:r>
              <w:rPr>
                <w:rFonts w:ascii="Times New Roman" w:hAnsi="Times New Roman"/>
                <w:color w:val="000000"/>
                <w:sz w:val="17"/>
              </w:rPr>
              <w:t>0109469047</w:t>
              <w:br/>
              <w:br/>
            </w:r>
            <w:r>
              <w:rPr>
                <w:rFonts w:ascii="Times New Roman" w:hAnsi="Times New Roman"/>
                <w:b/>
                <w:color w:val="000000"/>
                <w:sz w:val="17"/>
              </w:rPr>
              <w:t>Registered Address / Trụ sở ĐKKD:</w:t>
              <w:br/>
            </w:r>
            <w:r>
              <w:rPr>
                <w:rFonts w:ascii="Times New Roman" w:hAnsi="Times New Roman"/>
                <w:color w:val="000000"/>
                <w:sz w:val="17"/>
              </w:rPr>
              <w:t>18th Floor, CEO Tower, Plot HH2-1, Me Tri Ha Urban Area, Pham Hung Street, Tu Liem Ward, Hanoi, Vietnam</w:t>
              <w:br/>
              <w:t>Tầng 18, tòa nhà CEO Tower, Lô HH2-1, Khu đô thị Mễ Trì Hạ, đường Phạm Hùng, Phường Từ Liêm, Thành phố Hà Nội, Việt Nam</w:t>
              <w:br/>
              <w:br/>
            </w:r>
            <w:r>
              <w:rPr>
                <w:rFonts w:ascii="Times New Roman" w:hAnsi="Times New Roman"/>
                <w:b/>
                <w:color w:val="000000"/>
                <w:sz w:val="17"/>
              </w:rPr>
              <w:t>Legal Representative / Đại diện pháp luật:</w:t>
              <w:br/>
            </w:r>
            <w:r>
              <w:rPr>
                <w:rFonts w:ascii="Times New Roman" w:hAnsi="Times New Roman"/>
                <w:color w:val="000000"/>
                <w:sz w:val="17"/>
              </w:rPr>
              <w:t>Mr. NGUYEN VAN TRUNG — Director / Ông NGUYỄN VĂN TRUNG — Giám đốc</w:t>
              <w:br/>
              <w:br/>
            </w:r>
            <w:r>
              <w:rPr>
                <w:rFonts w:ascii="Times New Roman" w:hAnsi="Times New Roman"/>
                <w:b/>
                <w:color w:val="000000"/>
                <w:sz w:val="17"/>
              </w:rPr>
              <w:t>Official Hotline &amp; Email:</w:t>
              <w:br/>
            </w:r>
            <w:r>
              <w:rPr>
                <w:rFonts w:ascii="Times New Roman" w:hAnsi="Times New Roman"/>
                <w:color w:val="000000"/>
                <w:sz w:val="17"/>
              </w:rPr>
              <w:t>Tel: (+84) 966 688 525 | Email: trungnv.gss@gmail.com / safetylife.1st@gmail.com</w:t>
              <w:br/>
              <w:br/>
            </w:r>
            <w:r>
              <w:rPr>
                <w:rFonts w:ascii="Times New Roman" w:hAnsi="Times New Roman"/>
                <w:b/>
                <w:color w:val="000000"/>
                <w:sz w:val="17"/>
              </w:rPr>
              <w:t>USD Bank Account / Tài khoản USD:</w:t>
              <w:br/>
            </w:r>
            <w:r>
              <w:rPr>
                <w:rFonts w:ascii="Times New Roman" w:hAnsi="Times New Roman"/>
                <w:color w:val="000000"/>
                <w:sz w:val="17"/>
              </w:rPr>
              <w:t>Account No.: 9489773866038 | Bank: Military Commercial Joint Stock Bank (MB Bank) — Phung Hung Branch, Hanoi | SWIFT Code: MSCBVNVX</w:t>
              <w:br/>
              <w:br/>
            </w:r>
          </w:p>
        </w:tc>
        <w:tc>
          <w:tcPr>
            <w:tcW w:type="dxa" w:w="4896"/>
            <w:tcBorders>
              <w:top w:val="single" w:sz="4" w:space="0" w:color="000000"/>
              <w:bottom w:val="single" w:sz="4" w:space="0" w:color="000000"/>
              <w:left w:val="single" w:sz="4" w:space="0" w:color="000000"/>
              <w:right w:val="single" w:sz="4" w:space="0" w:color="000000"/>
            </w:tcBorders>
          </w:tcPr>
          <w:p>
            <w:r>
              <w:rPr>
                <w:rFonts w:ascii="Times New Roman" w:hAnsi="Times New Roman"/>
                <w:b/>
                <w:color w:val="000000"/>
                <w:sz w:val="17"/>
              </w:rPr>
              <w:t>Name of Buyer / Tên Bên Mua:</w:t>
              <w:br/>
            </w:r>
            <w:r>
              <w:rPr>
                <w:rFonts w:ascii="Times New Roman" w:hAnsi="Times New Roman"/>
                <w:color w:val="000000"/>
                <w:sz w:val="17"/>
              </w:rPr>
              <w:t>[BUYER_LEGAL_NAME] / [TÊN_PHÁP_NHÂN_BÊN_MUA]</w:t>
              <w:br/>
              <w:br/>
            </w:r>
            <w:r>
              <w:rPr>
                <w:rFonts w:ascii="Times New Roman" w:hAnsi="Times New Roman"/>
                <w:b/>
                <w:color w:val="000000"/>
                <w:sz w:val="17"/>
              </w:rPr>
              <w:t>Business Reg. / Tax Code / Mã số thuế:</w:t>
              <w:br/>
            </w:r>
            <w:r>
              <w:rPr>
                <w:rFonts w:ascii="Times New Roman" w:hAnsi="Times New Roman"/>
                <w:color w:val="000000"/>
                <w:sz w:val="17"/>
              </w:rPr>
              <w:t>[BUYER_TAX_ID] / [MÃ_SỐ_DOANH_NGHIỆP_QUỐC_TẾ]</w:t>
              <w:br/>
              <w:br/>
            </w:r>
            <w:r>
              <w:rPr>
                <w:rFonts w:ascii="Times New Roman" w:hAnsi="Times New Roman"/>
                <w:b/>
                <w:color w:val="000000"/>
                <w:sz w:val="17"/>
              </w:rPr>
              <w:t>Registered Office / Trụ sở ĐKKD:</w:t>
              <w:br/>
            </w:r>
            <w:r>
              <w:rPr>
                <w:rFonts w:ascii="Times New Roman" w:hAnsi="Times New Roman"/>
                <w:color w:val="000000"/>
                <w:sz w:val="17"/>
              </w:rPr>
              <w:t>[BUYER_REGISTERED_ADDRESS] / [ĐỊA_CHỈ_TRỤ_SỞ_CHÍNH]</w:t>
              <w:br/>
              <w:br/>
            </w:r>
            <w:r>
              <w:rPr>
                <w:rFonts w:ascii="Times New Roman" w:hAnsi="Times New Roman"/>
                <w:b/>
                <w:color w:val="000000"/>
                <w:sz w:val="17"/>
              </w:rPr>
              <w:t>Legal Representative / Đại diện pháp luật:</w:t>
              <w:br/>
            </w:r>
            <w:r>
              <w:rPr>
                <w:rFonts w:ascii="Times New Roman" w:hAnsi="Times New Roman"/>
                <w:color w:val="000000"/>
                <w:sz w:val="17"/>
              </w:rPr>
              <w:t>[BUYER_REPRESENTATIVE_NAME] — [BUYER_POSITION]</w:t>
              <w:br/>
              <w:br/>
            </w:r>
            <w:r>
              <w:rPr>
                <w:rFonts w:ascii="Times New Roman" w:hAnsi="Times New Roman"/>
                <w:b/>
                <w:color w:val="000000"/>
                <w:sz w:val="17"/>
              </w:rPr>
              <w:t>Official Contact / Đầu mối liên hệ:</w:t>
              <w:br/>
            </w:r>
            <w:r>
              <w:rPr>
                <w:rFonts w:ascii="Times New Roman" w:hAnsi="Times New Roman"/>
                <w:color w:val="000000"/>
                <w:sz w:val="17"/>
              </w:rPr>
              <w:t>Tel: [BUYER_PHONE] | Email: [BUYER_OFFICIAL_EMAIL]</w:t>
              <w:br/>
              <w:br/>
            </w:r>
            <w:r>
              <w:rPr>
                <w:rFonts w:ascii="Times New Roman" w:hAnsi="Times New Roman"/>
                <w:b/>
                <w:color w:val="000000"/>
                <w:sz w:val="17"/>
              </w:rPr>
              <w:t>Designated Bank / Ngân hàng thanh toán:</w:t>
              <w:br/>
            </w:r>
            <w:r>
              <w:rPr>
                <w:rFonts w:ascii="Times New Roman" w:hAnsi="Times New Roman"/>
                <w:color w:val="000000"/>
                <w:sz w:val="17"/>
              </w:rPr>
              <w:t>Bank Name: [BUYER_BANK_NAME] | Account No.: [BUYER_BANK_ACCOUNT] | SWIFT: [BUYER_SWIFT]</w:t>
              <w:br/>
              <w:br/>
            </w:r>
          </w:p>
        </w:tc>
      </w:tr>
    </w:tbl>
    <w:p>
      <w:pPr>
        <w:spacing w:before="160" w:after="60"/>
      </w:pPr>
      <w:r>
        <w:rPr>
          <w:rFonts w:ascii="Times New Roman" w:hAnsi="Times New Roman"/>
          <w:b/>
          <w:color w:val="000000"/>
          <w:sz w:val="21"/>
        </w:rPr>
        <w:t>ARTICLE 1 / ĐIỀU 1: PURPOSE, SCOPE &amp; OPERATIONAL FRAMEWORK</w:t>
        <w:br/>
        <w:t>(MỤC ĐÍCH, PHẠM VI &amp; CƠ CHẾ HỢP ĐỒNG NGUYÊN TẮC)</w:t>
      </w:r>
    </w:p>
    <w:p>
      <w:pPr>
        <w:spacing w:before="40" w:after="40" w:line="276" w:lineRule="auto"/>
      </w:pPr>
      <w:r>
        <w:rPr>
          <w:rFonts w:ascii="Times New Roman" w:hAnsi="Times New Roman"/>
          <w:color w:val="000000"/>
          <w:sz w:val="19"/>
        </w:rPr>
        <w:t>1.1. Framework Structure: This Master Agreement sets forth the general legal and commercial terms under which the Seller agrees to supply and sell, and the Buyer agrees to purchase from time to time, processed food and snack products manufactured in Vietnam. Individual transactions, commodity breakdown, quantities, unit prices, shipment schedules, delivery terms, and specific border gates/ports shall be formalized via separate Purchase Orders (PO) or Order Addenda executed by authorized representatives of both Parties.</w:t>
        <w:br/>
      </w:r>
      <w:r>
        <w:rPr>
          <w:rFonts w:ascii="Times New Roman" w:hAnsi="Times New Roman"/>
          <w:i/>
          <w:color w:val="000000"/>
          <w:sz w:val="18"/>
        </w:rPr>
        <w:t>1.1. Cơ chế Hợp đồng khung: Hợp đồng nguyên tắc này quy định các điều khoản pháp lý và thương mại chung điều chỉnh việc Bên Bán cung cấp và Bên Mua đặt mua các sản phẩm bánh snack và thực phẩm chế biến sản xuất tại Việt Nam. Từng giao dịch cụ thể, chi tiết danh mục hàng hóa, số lượng, đơn giá, tiến độ giao hàng, điều kiện giao hàng và cửa khẩu/cảng biển giao nhận sẽ được xác lập độc lập thông qua các Đơn đặt hàng (PO) hoặc Phụ lục đơn hàng có chữ ký của đại diện có thẩm quyền hai Bên.</w:t>
      </w:r>
    </w:p>
    <w:p>
      <w:pPr>
        <w:spacing w:before="40" w:after="40" w:line="276" w:lineRule="auto"/>
      </w:pPr>
      <w:r>
        <w:rPr>
          <w:rFonts w:ascii="Times New Roman" w:hAnsi="Times New Roman"/>
          <w:color w:val="000000"/>
          <w:sz w:val="19"/>
        </w:rPr>
        <w:t>1.2. Legal Hierarchy: Each accepted Purchase Order shall be deemed an integral part of this Master Agreement. In the event of any discrepancy between the terms of a specific Purchase Order and this Master Agreement, the Purchase Order shall prevail regarding specific commercial terms (quantity, price, shipment date, delivery place), while this Master Agreement shall govern all general legal principles, title retention, confidentiality, warranty claims, force majeure, and dispute resolution.</w:t>
        <w:br/>
      </w:r>
      <w:r>
        <w:rPr>
          <w:rFonts w:ascii="Times New Roman" w:hAnsi="Times New Roman"/>
          <w:i/>
          <w:color w:val="000000"/>
          <w:sz w:val="18"/>
        </w:rPr>
        <w:t>1.2. Thứ bậc pháp lý: Mọi Đơn đặt hàng (PO) được xác nhận hợp lệ đều là bộ phận cấu thành không thể tách rời của Hợp đồng này. Trường hợp có sự mâu thuẫn giữa Đơn đặt hàng và Hợp đồng nguyên tắc, Đơn đặt hàng sẽ được ưu tiên áp dụng đối với các thông số thương mại cụ thể (số lượng, đơn giá, ngày giao, địa điểm), trong khi Hợp đồng nguyên tắc sẽ điều chỉnh toàn bộ các nguyên tắc pháp lý cốt lõi, bảo lưu quyền sở hữu, bảo mật, chế tài, bất khả kháng và cơ chế giải quyết tranh chấp.</w:t>
      </w:r>
    </w:p>
    <w:p>
      <w:pPr>
        <w:spacing w:before="160" w:after="60"/>
      </w:pPr>
      <w:r>
        <w:rPr>
          <w:rFonts w:ascii="Times New Roman" w:hAnsi="Times New Roman"/>
          <w:b/>
          <w:color w:val="000000"/>
          <w:sz w:val="21"/>
        </w:rPr>
        <w:t>ARTICLE 2 / ĐIỀU 2: COMMODITY, SPECIFICATIONS &amp; QUALITY STANDARDS</w:t>
        <w:br/>
        <w:t>(HÀNG HÓA, QUY CÁCH KỸ THUẬT &amp; TIÊU CHUẨN CHẤT LƯỢNG)</w:t>
      </w:r>
    </w:p>
    <w:p>
      <w:pPr>
        <w:spacing w:before="40" w:after="40" w:line="276" w:lineRule="auto"/>
      </w:pPr>
      <w:r>
        <w:rPr>
          <w:rFonts w:ascii="Times New Roman" w:hAnsi="Times New Roman"/>
          <w:color w:val="000000"/>
          <w:sz w:val="19"/>
        </w:rPr>
        <w:t>2.1. Product Identification: The principal commodity under this Agreement is Crispy Stick Snack (Commercial Name: Snack Quẩy Giòn Giòn; Customs Declaration Description: Snack food, crispy stick), classified under Harmonized System Code (HS Code) 1905.90.80.</w:t>
        <w:br/>
      </w:r>
      <w:r>
        <w:rPr>
          <w:rFonts w:ascii="Times New Roman" w:hAnsi="Times New Roman"/>
          <w:i/>
          <w:color w:val="000000"/>
          <w:sz w:val="18"/>
        </w:rPr>
        <w:t>2.1. Nhận diện hàng hóa: Mặt hàng giao dịch chủ lực theo Hợp đồng này là Bánh snack dạng que giòn (Tên thương mại: Snack Quẩy Giòn Giòn; Tên khai báo Hải quan &amp; C/O: Snack food, crispy stick), phân loại theo Mã số HS Code 1905.90.80.</w:t>
      </w:r>
    </w:p>
    <w:p>
      <w:pPr>
        <w:spacing w:before="40" w:after="40" w:line="276" w:lineRule="auto"/>
      </w:pPr>
      <w:r>
        <w:rPr>
          <w:rFonts w:ascii="Times New Roman" w:hAnsi="Times New Roman"/>
          <w:color w:val="000000"/>
          <w:sz w:val="19"/>
        </w:rPr>
        <w:t>2.2. Standard Packaging: Standard packaging specification is locked at 22g per cup, 300 cups per carton (comprising 30 cups x 10 plastic sleeves/bags per export carton box; nominal carton dimension 585 x 270 x 497 mm; nominal net weight 6.60 kg/carton). Packaging shall be 5-ply heavy-duty corrugated export cartons suitable for international road freight and multi-tier stacking.</w:t>
        <w:br/>
      </w:r>
      <w:r>
        <w:rPr>
          <w:rFonts w:ascii="Times New Roman" w:hAnsi="Times New Roman"/>
          <w:i/>
          <w:color w:val="000000"/>
          <w:sz w:val="18"/>
        </w:rPr>
        <w:t>2.2. Quy cách đóng gói chuẩn: Quy cách đóng gói chuẩn mực được khóa cứng ở mức 22g/cốc, 300 cốc/thùng carton (gồm 30 cốc x 10 túi lốc/thùng; kích thước danh định 585 x 270 x 497 mm; trọng lượng tịnh danh định 6,60 kg/thùng). Thùng carton 5 lớp chuyên dụng xuất khẩu bảo đảm chịu lực khi vận chuyển đường bộ và xếp chồng nhiều tầng.</w:t>
      </w:r>
    </w:p>
    <w:p>
      <w:pPr>
        <w:spacing w:before="40" w:after="40" w:line="276" w:lineRule="auto"/>
      </w:pPr>
      <w:r>
        <w:rPr>
          <w:rFonts w:ascii="Times New Roman" w:hAnsi="Times New Roman"/>
          <w:color w:val="000000"/>
          <w:sz w:val="19"/>
        </w:rPr>
        <w:t>2.3. Origin Criterion: The goods are produced in Vietnam and meet the origin criteria under the ASEAN Trade in Goods Agreement (ATIGA), qualified for the issuance of Certificate of Origin Form D (CTH - Change in Tariff Heading).</w:t>
        <w:br/>
      </w:r>
      <w:r>
        <w:rPr>
          <w:rFonts w:ascii="Times New Roman" w:hAnsi="Times New Roman"/>
          <w:i/>
          <w:color w:val="000000"/>
          <w:sz w:val="18"/>
        </w:rPr>
        <w:t>2.3. Tiêu chí xuất xứ: Hàng hóa được sản xuất tại Việt Nam và đáp ứng tiêu chí xuất xứ theo Hiệp định Thương mại Hàng hóa ASEAN (ATIGA), đủ điều kiện cấp Giấy chứng nhận xuất xứ hàng hóa C/O Mẫu D (tiêu chí CTH - Chuyển đổi mã số hàng hóa).</w:t>
      </w:r>
    </w:p>
    <w:p>
      <w:pPr>
        <w:spacing w:before="40" w:after="40" w:line="276" w:lineRule="auto"/>
      </w:pPr>
      <w:r>
        <w:rPr>
          <w:rFonts w:ascii="Times New Roman" w:hAnsi="Times New Roman"/>
          <w:color w:val="000000"/>
          <w:sz w:val="19"/>
        </w:rPr>
        <w:t>2.4. Food Safety &amp; Shelf Life: Products shall comply with Vietnamese Food Safety standards and international export regulations. The remaining shelf life at the time of border delivery shall be not less than eighty percent (80%) of the total manufacturer shelf life.</w:t>
        <w:br/>
      </w:r>
      <w:r>
        <w:rPr>
          <w:rFonts w:ascii="Times New Roman" w:hAnsi="Times New Roman"/>
          <w:i/>
          <w:color w:val="000000"/>
          <w:sz w:val="18"/>
        </w:rPr>
        <w:t>2.4. An toàn thực phẩm &amp; Hạn sử dụng: Hàng hóa đáp ứng đầy đủ tiêu chuẩn vệ sinh an toàn thực phẩm Việt Nam và quy định xuất nhập khẩu quốc tế. Hạn sử dụng còn lại tại thời điểm giao hàng tại biên giới không thấp hơn tám mươi phần trăm (80%) tổng thời hạn sử dụng do nhà sản xuất công bố.</w:t>
      </w:r>
    </w:p>
    <w:p>
      <w:pPr>
        <w:spacing w:before="160" w:after="60"/>
      </w:pPr>
      <w:r>
        <w:rPr>
          <w:rFonts w:ascii="Times New Roman" w:hAnsi="Times New Roman"/>
          <w:b/>
          <w:color w:val="000000"/>
          <w:sz w:val="21"/>
        </w:rPr>
        <w:t>ARTICLE 3 / ĐIỀU 3: DELIVERY TERMS, INCOTERMS 2020 &amp; TRANSFER OF RISK</w:t>
        <w:br/>
        <w:t>(ĐIỀU KIỆN GIAO HÀNG, INCOTERMS 2020 &amp; CHUYỂN GIAO RỦI RO)</w:t>
      </w:r>
    </w:p>
    <w:p>
      <w:pPr>
        <w:spacing w:before="40" w:after="40" w:line="276" w:lineRule="auto"/>
      </w:pPr>
      <w:r>
        <w:rPr>
          <w:rFonts w:ascii="Times New Roman" w:hAnsi="Times New Roman"/>
          <w:color w:val="000000"/>
          <w:sz w:val="19"/>
        </w:rPr>
        <w:t>3.1. Incoterms 2020: Delivery terms shall be stipulated in each Purchase Order in accordance with Incoterms 2020 (Default term: FCA Lao Bao International Border Gate, Quang Tri Province, Vietnam; or FCA Cha Lo, Huu Nghi; or FOB Vietnamese Sea Port; or CIF/CIP destination).</w:t>
        <w:br/>
      </w:r>
      <w:r>
        <w:rPr>
          <w:rFonts w:ascii="Times New Roman" w:hAnsi="Times New Roman"/>
          <w:i/>
          <w:color w:val="000000"/>
          <w:sz w:val="18"/>
        </w:rPr>
        <w:t>3.1. Quy tắc Incoterms 2020: Điều kiện giao hàng được xác định trong từng Đơn đặt hàng theo Incoterms 2020 (Mặc định: FCA Cửa khẩu Quốc tế Lao Bảo, Quảng Trị, Việt Nam; hoặc FCA Cha Lo, Hữu Nghị; hoặc FOB Cảng biển Việt Nam; hoặc CIF/CIP cảng đích).</w:t>
      </w:r>
    </w:p>
    <w:p>
      <w:pPr>
        <w:spacing w:before="40" w:after="40" w:line="276" w:lineRule="auto"/>
      </w:pPr>
      <w:r>
        <w:rPr>
          <w:rFonts w:ascii="Times New Roman" w:hAnsi="Times New Roman"/>
          <w:color w:val="000000"/>
          <w:sz w:val="19"/>
        </w:rPr>
        <w:t>3.2. Division of Obligations &amp; Transshipment (FCA Terms): Under FCA border terms, the Seller is responsible for transporting the goods to the designated transshipment yard on the Vietnam side of the border checkpoint and completing export customs clearance. The Buyer shall be solely responsible for: (i) arranging cross-border transit vehicles from the destination country; (ii) labor and equipment costs for transshipping cargo across vehicles at the border yard; and (iii) import customs clearance formalities and import tariffs in the destination country.</w:t>
        <w:br/>
      </w:r>
      <w:r>
        <w:rPr>
          <w:rFonts w:ascii="Times New Roman" w:hAnsi="Times New Roman"/>
          <w:i/>
          <w:color w:val="000000"/>
          <w:sz w:val="18"/>
        </w:rPr>
        <w:t>3.2. Phân định trách nhiệm &amp; Sang xe (Điều kiện FCA): Theo điều kiện FCA cửa khẩu, Bên Bán chịu trách nhiệm vận chuyển hàng hóa đến bãi tập kết/sang tải quy định phía Việt Nam và hoàn tất thủ tục thông quan xuất khẩu. Bên Mua chịu trách nhiệm toàn bộ đối với: (i) điều động phương tiện tiếp nhận của nước bạn sang bãi biên giới; (ii) chi phí nhân công, xe nâng bốc dỡ sang tải giữa hai xe; và (iii) thủ tục thông quan nhập khẩu và thuế nhập khẩu tại nước bạn.</w:t>
      </w:r>
    </w:p>
    <w:p>
      <w:pPr>
        <w:spacing w:before="40" w:after="40" w:line="276" w:lineRule="auto"/>
      </w:pPr>
      <w:r>
        <w:rPr>
          <w:rFonts w:ascii="Times New Roman" w:hAnsi="Times New Roman"/>
          <w:color w:val="000000"/>
          <w:sz w:val="19"/>
        </w:rPr>
        <w:t>3.3. Transfer of Risk: All risks of loss or damage to the goods shall pass definitively from the Seller to the Buyer upon completion of physical cargo transshipment onto the Buyer's designated receiving carrier at the border transshipment area.</w:t>
        <w:br/>
      </w:r>
      <w:r>
        <w:rPr>
          <w:rFonts w:ascii="Times New Roman" w:hAnsi="Times New Roman"/>
          <w:i/>
          <w:color w:val="000000"/>
          <w:sz w:val="18"/>
        </w:rPr>
        <w:t>3.3. Thời điểm chuyển giao rủi ro: Mọi rủi ro về mất mát hoặc hư hỏng hàng hóa được chuyển giao dứt điểm từ Bên Bán sang Bên Mua ngay khi hoàn thành việc bốc dỡ sang tải hàng hóa lên phương tiện tiếp nhận do Bên Mua chỉ định tại khu vực bãi kiểm hóa cửa khẩu.</w:t>
      </w:r>
    </w:p>
    <w:p>
      <w:pPr>
        <w:spacing w:before="160" w:after="60"/>
      </w:pPr>
      <w:r>
        <w:rPr>
          <w:rFonts w:ascii="Times New Roman" w:hAnsi="Times New Roman"/>
          <w:b/>
          <w:color w:val="000000"/>
          <w:sz w:val="21"/>
        </w:rPr>
        <w:t>ARTICLE 4 / ĐIỀU 4: CONTRACT PRICE, CURRENCY &amp; PAYMENT TERMS</w:t>
        <w:br/>
        <w:t>(GIÁ CẢ, ĐỒNG TIỀN THANH TOÁN &amp; ĐIỀU KHOẢN THANH TOÁN QUỐC TẾ)</w:t>
      </w:r>
    </w:p>
    <w:p>
      <w:pPr>
        <w:spacing w:before="40" w:after="40" w:line="276" w:lineRule="auto"/>
      </w:pPr>
      <w:r>
        <w:rPr>
          <w:rFonts w:ascii="Times New Roman" w:hAnsi="Times New Roman"/>
          <w:color w:val="000000"/>
          <w:sz w:val="19"/>
        </w:rPr>
        <w:t>4.1. Currency of Payment: The contractual currency for all transactions under this Agreement shall strictly be United States Dollars (USD).</w:t>
        <w:br/>
      </w:r>
      <w:r>
        <w:rPr>
          <w:rFonts w:ascii="Times New Roman" w:hAnsi="Times New Roman"/>
          <w:i/>
          <w:color w:val="000000"/>
          <w:sz w:val="18"/>
        </w:rPr>
        <w:t>4.1. Đồng tiền thanh toán: Đồng tiền xác định giá cả và thanh toán cho mọi giao dịch theo Hợp đồng này bắt buộc là Đô la Mỹ (USD).</w:t>
      </w:r>
    </w:p>
    <w:p>
      <w:pPr>
        <w:spacing w:before="40" w:after="40" w:line="276" w:lineRule="auto"/>
      </w:pPr>
      <w:r>
        <w:rPr>
          <w:rFonts w:ascii="Times New Roman" w:hAnsi="Times New Roman"/>
          <w:color w:val="000000"/>
          <w:sz w:val="19"/>
        </w:rPr>
        <w:t>4.2. Payment Mechanism: 100% of the contract value shall be remitted via international Telegraphic Transfer (T/T) directly into the Seller's USD Bank Account at MB Bank Vietnam (Account No.: 9489773866038 | SWIFT Code: MSCBVNVX).</w:t>
        <w:br/>
      </w:r>
      <w:r>
        <w:rPr>
          <w:rFonts w:ascii="Times New Roman" w:hAnsi="Times New Roman"/>
          <w:i/>
          <w:color w:val="000000"/>
          <w:sz w:val="18"/>
        </w:rPr>
        <w:t>4.2. Phương thức thanh toán: 100% giá trị hợp đồng được thanh toán bằng hình thức Điện chuyển tiền quốc tế (T/T) trực tiếp vào tài khoản ngoại tệ USD của Bên Bán tại MB Bank Việt Nam (Số tài khoản: 9489773866038 | Mã SWIFT: MSCBVNVX).</w:t>
      </w:r>
    </w:p>
    <w:p>
      <w:pPr>
        <w:spacing w:before="40" w:after="40" w:line="276" w:lineRule="auto"/>
      </w:pPr>
      <w:r>
        <w:rPr>
          <w:rFonts w:ascii="Times New Roman" w:hAnsi="Times New Roman"/>
          <w:color w:val="000000"/>
          <w:sz w:val="19"/>
        </w:rPr>
        <w:t>4.3. Staged Payment Milestones:</w:t>
        <w:br/>
        <w:t>- Tranche 1 (Advance Deposit): 30% to 40% of the total shipment value shall be paid within three (03) business days following the execution of the Purchase Order. This deposit serves as a non-refundable production securing deposit.</w:t>
        <w:br/>
        <w:t>- Tranche 2 (Final Settlement): The remaining 60% to 70% of the shipment value shall be paid in full prior to cargo dispatch from the factory or prior to border release. The Seller reserves the right to withhold dispatch until the final payment is credited to the Seller's bank account in cleared funds.</w:t>
        <w:br/>
      </w:r>
      <w:r>
        <w:rPr>
          <w:rFonts w:ascii="Times New Roman" w:hAnsi="Times New Roman"/>
          <w:i/>
          <w:color w:val="000000"/>
          <w:sz w:val="18"/>
        </w:rPr>
        <w:t>4.3. Tiến độ thanh toán phân kỳ:</w:t>
        <w:br/>
        <w:t>- Đợt 1 (Tạm ứng cọc sản xuất): 30% đến 40% tổng giá trị đơn hàng được thanh toán trong vòng ba (03) ngày làm việc sau khi ký Đơn đặt hàng. Khoản tiền này là khoản cọc bảo đảm sản xuất và không hoàn lại nếu Bên Mua đơn phương hủy đơn.</w:t>
        <w:br/>
        <w:t>- Đợt 2 (Quyết toán trước khi giải phóng hàng): 60% đến 70% giá trị đơn hàng còn lại được thanh toán đủ 100% trước khi xe xuất bốc hàng rời nhà máy hoặc trước khi sang tải qua biên giới. Bên Bán có quyền giữ lại hàng hóa cho đến khi toàn bộ số tiền thanh toán được ghi Có vào tài khoản ngân hàng của Bên Bán.</w:t>
      </w:r>
    </w:p>
    <w:p>
      <w:pPr>
        <w:spacing w:before="40" w:after="40" w:line="276" w:lineRule="auto"/>
      </w:pPr>
      <w:r>
        <w:rPr>
          <w:rFonts w:ascii="Times New Roman" w:hAnsi="Times New Roman"/>
          <w:color w:val="000000"/>
          <w:sz w:val="19"/>
        </w:rPr>
        <w:t>4.4. Banking Charges: All banking fees, correspondent charges, and intermediary bank deductions incurred outside Vietnam shall be borne exclusively by the Buyer under OUR terms. The Seller must receive the exact invoiced amount in full.</w:t>
        <w:br/>
      </w:r>
      <w:r>
        <w:rPr>
          <w:rFonts w:ascii="Times New Roman" w:hAnsi="Times New Roman"/>
          <w:i/>
          <w:color w:val="000000"/>
          <w:sz w:val="18"/>
        </w:rPr>
        <w:t>4.4. Phí ngân hàng: Toàn bộ phí ngân hàng chuyển tiền, phí ngân hàng trung gian phát sinh ngoài lãnh thổ Việt Nam do Bên Mua chịu hoàn toàn theo điều kiện phí OUR. Bên Bán phải nhận đủ 100% giá trị ghi trên hóa đơn không bị cấn trừ phí chuyển tiền.</w:t>
      </w:r>
    </w:p>
    <w:p>
      <w:pPr>
        <w:spacing w:before="160" w:after="60"/>
      </w:pPr>
      <w:r>
        <w:rPr>
          <w:rFonts w:ascii="Times New Roman" w:hAnsi="Times New Roman"/>
          <w:b/>
          <w:color w:val="000000"/>
          <w:sz w:val="21"/>
        </w:rPr>
        <w:t>ARTICLE 5 / ĐIỀU 5: RETENTION OF TITLE &amp; PROPERTY RIGHTS</w:t>
        <w:br/>
        <w:t>(BẢO LƯU QUYỀN SỞ HỮU &amp; BẢO VỆ TÀI SẢN BÊN BÁN)</w:t>
      </w:r>
    </w:p>
    <w:p>
      <w:pPr>
        <w:spacing w:before="40" w:after="40" w:line="276" w:lineRule="auto"/>
      </w:pPr>
      <w:r>
        <w:rPr>
          <w:rFonts w:ascii="Times New Roman" w:hAnsi="Times New Roman"/>
          <w:color w:val="000000"/>
          <w:sz w:val="19"/>
        </w:rPr>
        <w:t>5.1. Absolute Retention of Title: The Seller retains absolute legal and equitable title and full ownership of all goods delivered until the Buyer has paid the contract purchase price in full and all funds have cleared into the Seller's designated bank account.</w:t>
        <w:br/>
      </w:r>
      <w:r>
        <w:rPr>
          <w:rFonts w:ascii="Times New Roman" w:hAnsi="Times New Roman"/>
          <w:i/>
          <w:color w:val="000000"/>
          <w:sz w:val="18"/>
        </w:rPr>
        <w:t>5.1. Bảo lưu quyền sở hữu tuyệt đối: Bên Bán bảo lưu quyền sở hữu hợp pháp và tuyệt đối đối với toàn bộ hàng hóa cho đến khi Bên Mua thanh toán đầy đủ 100% giá trị hợp đồng và số tiền đã được ghi Có thực tế vào tài khoản ngân hàng của Bên Bán.</w:t>
      </w:r>
    </w:p>
    <w:p>
      <w:pPr>
        <w:spacing w:before="40" w:after="40" w:line="276" w:lineRule="auto"/>
      </w:pPr>
      <w:r>
        <w:rPr>
          <w:rFonts w:ascii="Times New Roman" w:hAnsi="Times New Roman"/>
          <w:color w:val="000000"/>
          <w:sz w:val="19"/>
        </w:rPr>
        <w:t>5.2. Prohibition of Encumbrance: Until title has passed to the Buyer, the Buyer shall not pledge, assign, mortgage, or create any lien, security interest, or encumbrance over the goods.</w:t>
        <w:br/>
      </w:r>
      <w:r>
        <w:rPr>
          <w:rFonts w:ascii="Times New Roman" w:hAnsi="Times New Roman"/>
          <w:i/>
          <w:color w:val="000000"/>
          <w:sz w:val="18"/>
        </w:rPr>
        <w:t>5.2. Cấm định đoạt hoặc thế chấp: Cho đến khi quyền sở hữu được chuyển giao chính thức, Bên Mua không được phép cầm cố, chuyển nhượng, thế chấp hoặc tạo bất kỳ quyền lưu giữ, bảo đảm nghĩa vụ nào đối với hàng hóa.</w:t>
      </w:r>
    </w:p>
    <w:p>
      <w:pPr>
        <w:spacing w:before="40" w:after="40" w:line="276" w:lineRule="auto"/>
      </w:pPr>
      <w:r>
        <w:rPr>
          <w:rFonts w:ascii="Times New Roman" w:hAnsi="Times New Roman"/>
          <w:color w:val="000000"/>
          <w:sz w:val="19"/>
        </w:rPr>
        <w:t>5.3. Right of Repossession: If the Buyer fails to make the full payment when due, the Seller shall have the irrevocable right, without court intervention, to enter the premises where the goods are stored and repossess the goods, and all repossession and return freight costs shall be charged to the Buyer.</w:t>
        <w:br/>
      </w:r>
      <w:r>
        <w:rPr>
          <w:rFonts w:ascii="Times New Roman" w:hAnsi="Times New Roman"/>
          <w:i/>
          <w:color w:val="000000"/>
          <w:sz w:val="18"/>
        </w:rPr>
        <w:t>5.3. Quyền thu hồi hàng hóa: Trường hợp Bên Mua chậm trễ thanh toán khi đến hạn, Bên Bán có toàn quyền thu hồi lại hàng hóa tại bất kỳ nơi lưu giữ nào mà không cần can thiệp của tòa án; toàn bộ chi phí thu hồi và vận chuyển ngược do Bên Mua chịu trách nhiệm thanh toán.</w:t>
      </w:r>
    </w:p>
    <w:p>
      <w:pPr>
        <w:spacing w:before="160" w:after="60"/>
      </w:pPr>
      <w:r>
        <w:rPr>
          <w:rFonts w:ascii="Times New Roman" w:hAnsi="Times New Roman"/>
          <w:b/>
          <w:color w:val="000000"/>
          <w:sz w:val="21"/>
        </w:rPr>
        <w:t>ARTICLE 6 / ĐIỀU 6: SHIPPING DOCUMENTS &amp; EXPORT TAX COMPLIANCE</w:t>
        <w:br/>
        <w:t>(BỘ CHỨNG TỪ XUẤT KHẨU &amp; TUÂN THỦ PHÁP LUẬT THUẾ)</w:t>
      </w:r>
    </w:p>
    <w:p>
      <w:pPr>
        <w:spacing w:before="40" w:after="40" w:line="276" w:lineRule="auto"/>
      </w:pPr>
      <w:r>
        <w:rPr>
          <w:rFonts w:ascii="Times New Roman" w:hAnsi="Times New Roman"/>
          <w:color w:val="000000"/>
          <w:sz w:val="19"/>
        </w:rPr>
        <w:t>6.1. Export Dossier: For each shipment, the Seller shall furnish the Buyer with the following export documents:</w:t>
        <w:br/>
        <w:t>1. Commercial Invoice (03 originals in English);</w:t>
        <w:br/>
        <w:t>2. Detailed Packing List (03 originals in English);</w:t>
        <w:br/>
        <w:t>3. Original Certificate of Origin (C/O Form D ATIGA) issued by the competent authority in Vietnam;</w:t>
        <w:br/>
        <w:t>4. Cleared Vietnam Export Customs Declaration Form B11 (copy/electronic extract);</w:t>
        <w:br/>
        <w:t>5. Manufacturer Food Safety Certificate and Test Report (copy).</w:t>
        <w:br/>
      </w:r>
      <w:r>
        <w:rPr>
          <w:rFonts w:ascii="Times New Roman" w:hAnsi="Times New Roman"/>
          <w:i/>
          <w:color w:val="000000"/>
          <w:sz w:val="18"/>
        </w:rPr>
        <w:t>6.1. Bộ chứng từ xuất khẩu: Đối với từng lô hàng, Bên Bán cung cấp cho Bên Mua bộ chứng từ gồm:</w:t>
        <w:br/>
        <w:t>1. Hóa đơn thương mại Commercial Invoice (03 bản gốc tiếng Anh);</w:t>
        <w:br/>
        <w:t>2. Bảng kê đóng gói chi tiết Packing List (03 bản gốc tiếng Anh);</w:t>
        <w:br/>
        <w:t>3. Bản gốc Giấy chứng nhận xuất xứ hàng hóa C/O Mẫu D (Hiệp định ATIGA) do cơ quan có thẩm quyền Việt Nam cấp;</w:t>
        <w:br/>
        <w:t>4. Tờ khai Hải quan xuất khẩu loại hình B11 đã hoàn thành thủ tục thông quan (bản sao/trích xuất điện tử);</w:t>
        <w:br/>
        <w:t>5. Bản công bố an toàn thực phẩm và kết quả kiểm nghiệm của nhà sản xuất (bản sao).</w:t>
      </w:r>
    </w:p>
    <w:p>
      <w:pPr>
        <w:spacing w:before="40" w:after="40" w:line="276" w:lineRule="auto"/>
      </w:pPr>
      <w:r>
        <w:rPr>
          <w:rFonts w:ascii="Times New Roman" w:hAnsi="Times New Roman"/>
          <w:color w:val="000000"/>
          <w:sz w:val="19"/>
        </w:rPr>
        <w:t>6.2. Tax Compliance Invariant: The transaction constitutes an official commercial export under Vietnamese Law (Circular 219/2013/TT-BTC and Decree 123/2020/ND-CP). Both Parties covenant to maintain transparent accounting records, and the Buyer shall promptly cooperate in verifying banking transfer receipts upon request of Vietnamese tax authorities.</w:t>
        <w:br/>
      </w:r>
      <w:r>
        <w:rPr>
          <w:rFonts w:ascii="Times New Roman" w:hAnsi="Times New Roman"/>
          <w:i/>
          <w:color w:val="000000"/>
          <w:sz w:val="18"/>
        </w:rPr>
        <w:t>6.2. Tuân thủ thuế suất GTGT 0%: Giao dịch này là hoạt động xuất khẩu thương mại chính thức theo quy định của pháp luật Việt Nam (Thông tư 219/2013/TT-BTC và Nghị định 123/2020/NĐ-CP). Hai Bên cam kết duy trì hồ sơ kế toán minh bạch; Bên Mua có trách nhiệm phối hợp xác nhận điện chuyển tiền ngân hàng khi có yêu cầu thanh tra hoàn thuế của cơ quan Thuế Việt Nam.</w:t>
      </w:r>
    </w:p>
    <w:p>
      <w:pPr>
        <w:spacing w:before="160" w:after="60"/>
      </w:pPr>
      <w:r>
        <w:rPr>
          <w:rFonts w:ascii="Times New Roman" w:hAnsi="Times New Roman"/>
          <w:b/>
          <w:color w:val="000000"/>
          <w:sz w:val="21"/>
        </w:rPr>
        <w:t>ARTICLE 7 / ĐIỀU 7: NON-CIRCUMVENTION, NON-DISCLOSURE &amp; TRADE SECRETS (NCNDA)</w:t>
        <w:br/>
        <w:t>(CAM KẾT BẢO MẬT &amp; CHỐNG NHẢY CÓC THƯƠNG MẠI (NCNDA))</w:t>
      </w:r>
    </w:p>
    <w:p>
      <w:pPr>
        <w:spacing w:before="40" w:after="40" w:line="276" w:lineRule="auto"/>
      </w:pPr>
      <w:r>
        <w:rPr>
          <w:rFonts w:ascii="Times New Roman" w:hAnsi="Times New Roman"/>
          <w:color w:val="000000"/>
          <w:sz w:val="19"/>
        </w:rPr>
        <w:t>7.1. Protection of Supply Chain Secrets: The Buyer acknowledges and agrees that the Seller's supply chain, original manufacturing plants, production formulas, cost structures, and vendor identities in Vietnam constitute valuable proprietary trade secrets of GSS CO.,LTD.</w:t>
        <w:br/>
      </w:r>
      <w:r>
        <w:rPr>
          <w:rFonts w:ascii="Times New Roman" w:hAnsi="Times New Roman"/>
          <w:i/>
          <w:color w:val="000000"/>
          <w:sz w:val="18"/>
        </w:rPr>
        <w:t>7.1. Bảo vệ bí mật chuỗi cung ứng: Bên Mua thừa nhận và đồng ý rằng toàn bộ chuỗi cung ứng, nhà máy sản xuất gốc, công thức chế biến, cơ cấu giá vốn và danh tính đối tác sản xuất của Bên Bán tại Việt Nam là bí mật thương mại và tài sản sở hữu trí tuệ độc quyền của GSS CO.,LTD.</w:t>
      </w:r>
    </w:p>
    <w:p>
      <w:pPr>
        <w:spacing w:before="40" w:after="40" w:line="276" w:lineRule="auto"/>
      </w:pPr>
      <w:r>
        <w:rPr>
          <w:rFonts w:ascii="Times New Roman" w:hAnsi="Times New Roman"/>
          <w:color w:val="000000"/>
          <w:sz w:val="19"/>
        </w:rPr>
        <w:t>7.2. Strict Anti-Circumvention Covenant: The Buyer covenants that during the term of this Agreement and for a period of thirty-six (36) months following its expiration or termination, the Buyer, its affiliates, parent companies, directors, employees, and designated agents shall not, directly or indirectly, contact, solicit, negotiate, purchase from, or enter into any commercial relationship with any manufacturing facility, supplier, or factory introduced or utilized by the Seller in Vietnam, bypassing the Seller.</w:t>
        <w:br/>
      </w:r>
      <w:r>
        <w:rPr>
          <w:rFonts w:ascii="Times New Roman" w:hAnsi="Times New Roman"/>
          <w:i/>
          <w:color w:val="000000"/>
          <w:sz w:val="18"/>
        </w:rPr>
        <w:t>7.2. Cam kết chống nhảy cóc nghiêm ngặt: Bên Mua cam kết trong suốt thời gian có hiệu lực của Hợp đồng này và trong thời hạn ba mươi sáu (36) tháng sau khi Hợp đồng chấm dứt, Bên Mua, các công ty liên kết, giám đốc, nhân viên hoặc đại diện của Bên Mua tuyệt đối không được tiếp cận, liên hệ, giao dịch, chào giá, mua hàng trực tiếp hoặc qua trung gian với bất kỳ nhà máy sản xuất, xưởng gia công hoặc nhà cung cấp nào do Bên Bán giới thiệu hoặc sử dụng tại Việt Nam nhằm mục đích bỏ qua vai trò của Bên Bán.</w:t>
      </w:r>
    </w:p>
    <w:p>
      <w:pPr>
        <w:spacing w:before="40" w:after="40" w:line="276" w:lineRule="auto"/>
      </w:pPr>
      <w:r>
        <w:rPr>
          <w:rFonts w:ascii="Times New Roman" w:hAnsi="Times New Roman"/>
          <w:color w:val="000000"/>
          <w:sz w:val="19"/>
        </w:rPr>
        <w:t>7.3. Liquidated Damages: In the event of a breach of this Article 7, the Buyer shall automatically and immediately pay to the Seller liquidated damages in the amount of USD 100,000 (One Hundred Thousand US Dollars) per violation, or an amount equal to twice the total gross margin realized by the Buyer from such unauthorized transactions, whichever is greater, in addition to all legal fees and consequential damages incurred by the Seller.</w:t>
        <w:br/>
      </w:r>
      <w:r>
        <w:rPr>
          <w:rFonts w:ascii="Times New Roman" w:hAnsi="Times New Roman"/>
          <w:i/>
          <w:color w:val="000000"/>
          <w:sz w:val="18"/>
        </w:rPr>
        <w:t>7.3. Chế tài phạt vi phạm: Trường hợp Bên Mua vi phạm Điều 7 này, Bên Mua phải thanh toán ngay lập tức cho Bên Bán khoản tiền phạt vi phạm cam kết là 100.000 USD (Một trăm nghìn Đô la Mỹ) cho mỗi hành vi vi phạm, hoặc số tiền gấp hai lần tổng lợi nhuận Bên Mua thu được từ các giao dịch vi phạm đó (tùy theo số nào lớn hơn), đồng thời bồi thường toàn bộ chi phí pháp lý và thiệt hại thực tế phát sinh của Bên Bán.</w:t>
      </w:r>
    </w:p>
    <w:p>
      <w:pPr>
        <w:spacing w:before="160" w:after="60"/>
      </w:pPr>
      <w:r>
        <w:rPr>
          <w:rFonts w:ascii="Times New Roman" w:hAnsi="Times New Roman"/>
          <w:b/>
          <w:color w:val="000000"/>
          <w:sz w:val="21"/>
        </w:rPr>
        <w:t>ARTICLE 8 / ĐIỀU 8: FORCE MAJEURE</w:t>
        <w:br/>
        <w:t>(SỰ KIỆN BẤT KHẢ KHÁNG)</w:t>
      </w:r>
    </w:p>
    <w:p>
      <w:pPr>
        <w:spacing w:before="40" w:after="40" w:line="276" w:lineRule="auto"/>
      </w:pPr>
      <w:r>
        <w:rPr>
          <w:rFonts w:ascii="Times New Roman" w:hAnsi="Times New Roman"/>
          <w:color w:val="000000"/>
          <w:sz w:val="19"/>
        </w:rPr>
        <w:t>8.1. Definition: Neither Party shall be held liable for failure or delay in performing its contractual obligations if such failure arises out of an event of Force Majeure, including but not limited to acts of God, war, hostilities, military actions, pandemics, widespread strikes, border checkpoint closures, or sudden embargoes/trade bans enacted by governmental authorities.</w:t>
        <w:br/>
      </w:r>
      <w:r>
        <w:rPr>
          <w:rFonts w:ascii="Times New Roman" w:hAnsi="Times New Roman"/>
          <w:i/>
          <w:color w:val="000000"/>
          <w:sz w:val="18"/>
        </w:rPr>
        <w:t>8.1. Định nghĩa: Không Bên nào phải chịu trách nhiệm về việc chậm trễ hoặc không thực hiện nghĩa vụ hợp đồng nếu nguyên nhân xuất phát từ Sự kiện Bất khả kháng, bao gồm thiên tai, chiến tranh, xung đột quân sự, dịch bệnh, đình công diện rộng, quyết định đóng cửa khẩu biên giới hoặc lệnh cấm vận/hạn chế xuất nhập khẩu đột ngột của cơ quan nhà nước có thẩm quyền.</w:t>
      </w:r>
    </w:p>
    <w:p>
      <w:pPr>
        <w:spacing w:before="40" w:after="40" w:line="276" w:lineRule="auto"/>
      </w:pPr>
      <w:r>
        <w:rPr>
          <w:rFonts w:ascii="Times New Roman" w:hAnsi="Times New Roman"/>
          <w:color w:val="000000"/>
          <w:sz w:val="19"/>
        </w:rPr>
        <w:t>8.2. Notification &amp; Mitigation: The affected Party shall notify the other Party in writing within forty-eight (48) hours of the occurrence, accompanied by official documentary evidence from a competent authority or Chamber of Commerce, and shall take all reasonable steps to mitigate damages.</w:t>
        <w:br/>
      </w:r>
      <w:r>
        <w:rPr>
          <w:rFonts w:ascii="Times New Roman" w:hAnsi="Times New Roman"/>
          <w:i/>
          <w:color w:val="000000"/>
          <w:sz w:val="18"/>
        </w:rPr>
        <w:t>8.2. Thông báo &amp; Giảm thiểu: Bên bị ảnh hưởng phải thông báo bằng văn bản cho Bên kia trong vòng bốn mươi tám (48) giờ kể từ khi xảy ra sự kiện, kèm theo văn bản xác nhận hợp pháp của cơ quan có thẩm quyền hoặc Phòng Thương mại, đồng thời thực hiện mọi biện pháp hợp lý để giảm thiểu thiệt hại.</w:t>
      </w:r>
    </w:p>
    <w:p>
      <w:pPr>
        <w:spacing w:before="160" w:after="60"/>
      </w:pPr>
      <w:r>
        <w:rPr>
          <w:rFonts w:ascii="Times New Roman" w:hAnsi="Times New Roman"/>
          <w:b/>
          <w:color w:val="000000"/>
          <w:sz w:val="21"/>
        </w:rPr>
        <w:t>ARTICLE 9 / ĐIỀU 9: GOVERNING LAW &amp; DISPUTE RESOLUTION</w:t>
        <w:br/>
        <w:t>(LUẬT ĐIỀU CHỈNH &amp; GIẢI QUYẾT TRANH CHẤP)</w:t>
      </w:r>
    </w:p>
    <w:p>
      <w:pPr>
        <w:spacing w:before="40" w:after="40" w:line="276" w:lineRule="auto"/>
      </w:pPr>
      <w:r>
        <w:rPr>
          <w:rFonts w:ascii="Times New Roman" w:hAnsi="Times New Roman"/>
          <w:color w:val="000000"/>
          <w:sz w:val="19"/>
        </w:rPr>
        <w:t>9.1. Governing Law: This Agreement, its validity, interpretation, and all Purchase Orders executed hereunder shall be governed by and construed in accordance with the substantive Laws of the Socialist Republic of Vietnam.</w:t>
        <w:br/>
      </w:r>
      <w:r>
        <w:rPr>
          <w:rFonts w:ascii="Times New Roman" w:hAnsi="Times New Roman"/>
          <w:i/>
          <w:color w:val="000000"/>
          <w:sz w:val="18"/>
        </w:rPr>
        <w:t>9.1. Luật điều chỉnh: Hợp đồng này, hiệu lực, việc giải thích và toàn bộ các Đơn đặt hàng ký kết theo Hợp đồng sẽ chịu sự điều chỉnh và diễn giải theo pháp luật của nước Cộng hòa Xã hội Chủ nghĩa Việt Nam.</w:t>
      </w:r>
    </w:p>
    <w:p>
      <w:pPr>
        <w:spacing w:before="40" w:after="40" w:line="276" w:lineRule="auto"/>
      </w:pPr>
      <w:r>
        <w:rPr>
          <w:rFonts w:ascii="Times New Roman" w:hAnsi="Times New Roman"/>
          <w:color w:val="000000"/>
          <w:sz w:val="19"/>
        </w:rPr>
        <w:t>9.2. Arbitration: Any dispute, controversy, or claim arising out of or relating to this Agreement, including its formation, breach, termination, or invalidity, shall be settled amicably through negotiation within thirty (30) days. If negotiation fails, such dispute shall be referred to and finally resolved by arbitration administered by the Vietnam International Arbitration Centre (VIAC) at the Vietnam Chamber of Commerce and Industry in Hanoi, in accordance with its Arbitration Rules in force at the time of commencement of the arbitration. The arbitral tribunal shall consist of three (3) arbitrators. The language of arbitration shall be English. The arbitral award shall be final, binding upon both Parties, and enforceable in any court of competent jurisdiction.</w:t>
        <w:br/>
      </w:r>
      <w:r>
        <w:rPr>
          <w:rFonts w:ascii="Times New Roman" w:hAnsi="Times New Roman"/>
          <w:i/>
          <w:color w:val="000000"/>
          <w:sz w:val="18"/>
        </w:rPr>
        <w:t>9.2. Trọng tài thương mại: Mọi tranh chấp phát sinh từ hoặc liên quan đến Hợp đồng này, bao gồm việc xác lập, vi phạm, chấm dứt hoặc vô hiệu, trước hết sẽ được giải quyết thông qua đàm phán thương lượng trong vòng ba mươi (30) ngày. Nếu đàm phán không thành công, tranh chấp sẽ được đưa ra giải quyết chung thẩm bằng trọng tài tại Trung tâm Trọng tài Quốc tế Việt Nam (VIAC) bên cạnh Phòng Thương mại và Công nghiệp Việt Nam tại Hà Nội theo Quy tắc Tố tụng Trọng tài của VIAC. Hội đồng trọng tài gồm ba (03) trọng tài viên. Ngôn ngữ trọng tài là tiếng Anh. Phán quyết trọng tài là chung thẩm, ràng buộc đối với cả hai Bên và có giá trị thi hành tại các tòa án có thẩm quyền.</w:t>
      </w:r>
    </w:p>
    <w:p>
      <w:pPr>
        <w:spacing w:before="160" w:after="60"/>
      </w:pPr>
      <w:r>
        <w:rPr>
          <w:rFonts w:ascii="Times New Roman" w:hAnsi="Times New Roman"/>
          <w:b/>
          <w:color w:val="000000"/>
          <w:sz w:val="21"/>
        </w:rPr>
        <w:t>ARTICLE 10 / ĐIỀU 10: TERM, TERMINATION &amp; GENERAL PROVISIONS</w:t>
        <w:br/>
        <w:t>(THỜI HẠN, CHẤM DỨT &amp; ĐIỀU KHOẢN THI HÀNH)</w:t>
      </w:r>
    </w:p>
    <w:p>
      <w:pPr>
        <w:spacing w:before="40" w:after="40" w:line="276" w:lineRule="auto"/>
      </w:pPr>
      <w:r>
        <w:rPr>
          <w:rFonts w:ascii="Times New Roman" w:hAnsi="Times New Roman"/>
          <w:color w:val="000000"/>
          <w:sz w:val="19"/>
        </w:rPr>
        <w:t>10.1. Effective Term: This Agreement shall take effect on the date of execution and shall remain valid for an initial period of two (02) years. Thereafter, it shall automatically renew for successive one-year periods unless either Party provides written notice of termination at least thirty (30) days prior to the expiration of the then-current term.</w:t>
        <w:br/>
      </w:r>
      <w:r>
        <w:rPr>
          <w:rFonts w:ascii="Times New Roman" w:hAnsi="Times New Roman"/>
          <w:i/>
          <w:color w:val="000000"/>
          <w:sz w:val="18"/>
        </w:rPr>
        <w:t>10.1. Thời hạn hiệu lực: Hợp đồng này có hiệu lực kể từ ngày ký và có giá trị trong thời hạn ban đầu là hai (02) năm. Sau đó, Hợp đồng sẽ tự động gia hạn từng năm một trừ khi một trong hai Bên gửi thông báo chấm dứt bằng văn bản trước ít nhất ba mươi (30) ngày trước khi kết thúc thời hạn.</w:t>
      </w:r>
    </w:p>
    <w:p>
      <w:pPr>
        <w:spacing w:before="40" w:after="40" w:line="276" w:lineRule="auto"/>
      </w:pPr>
      <w:r>
        <w:rPr>
          <w:rFonts w:ascii="Times New Roman" w:hAnsi="Times New Roman"/>
          <w:color w:val="000000"/>
          <w:sz w:val="19"/>
        </w:rPr>
        <w:t>10.2. Language &amp; Counterparts: This Agreement is drawn up in both the English and Vietnamese languages in two (02) original counterparts, each Party retaining one (01) counterpart. Both language versions are legally authentic and binding. In the event of any divergence of interpretation, the English text shall prevail for international commercial terms, and the Vietnamese text shall prevail regarding Vietnamese statutory and tax compliance.</w:t>
        <w:br/>
      </w:r>
      <w:r>
        <w:rPr>
          <w:rFonts w:ascii="Times New Roman" w:hAnsi="Times New Roman"/>
          <w:i/>
          <w:color w:val="000000"/>
          <w:sz w:val="18"/>
        </w:rPr>
        <w:t>10.2. Ngôn ngữ &amp; Bản gốc: Hợp đồng này được lập thành hai (02) bản gốc bằng cả tiếng Anh và tiếng Việt, mỗi Bên giữ một (01) bản có giá trị pháp lý như nhau. Cả hai ngôn ngữ đều có giá trị pháp lý. Trường hợp có sự diễn giải khác nhau, bản tiếng Anh sẽ được ưu tiên áp dụng đối với các điều khoản thương mại quốc tế và bản tiếng Việt sẽ được ưu tiên đối với các quy định pháp luật và thuế tại Việt Nam.</w:t>
      </w:r>
    </w:p>
    <w:p>
      <w:pPr>
        <w:spacing w:before="280" w:after="120"/>
      </w:pPr>
      <w:r>
        <w:rPr>
          <w:rFonts w:ascii="Times New Roman" w:hAnsi="Times New Roman"/>
          <w:i/>
          <w:color w:val="000000"/>
          <w:sz w:val="19"/>
        </w:rPr>
        <w:t>IN WITNESS WHEREOF, the Parties hereto have caused this Master Agreement to be executed by their duly authorized representatives.</w:t>
        <w:br/>
        <w:t>(ĐỂ LÀM BẰNG, hai Bên dưới đây đã cử đại diện có thẩm quyền hợp pháp ký tên và đóng dấu vào Hợp đồng này.)</w:t>
      </w:r>
    </w:p>
    <w:tbl>
      <w:tblPr>
        <w:tblW w:type="auto" w:w="0"/>
        <w:jc w:val="center"/>
        <w:tblLook w:firstColumn="1" w:firstRow="1" w:lastColumn="0" w:lastRow="0" w:noHBand="0" w:noVBand="1" w:val="04A0"/>
      </w:tblPr>
      <w:tblGrid>
        <w:gridCol w:w="4896"/>
        <w:gridCol w:w="4896"/>
      </w:tblGrid>
      <w:tr>
        <w:tc>
          <w:tcPr>
            <w:tcW w:type="dxa" w:w="4752"/>
          </w:tcPr>
          <w:p>
            <w:pPr>
              <w:jc w:val="center"/>
            </w:pPr>
            <w:r>
              <w:rPr>
                <w:rFonts w:ascii="Times New Roman" w:hAnsi="Times New Roman"/>
                <w:b/>
                <w:color w:val="000000"/>
                <w:sz w:val="20"/>
              </w:rPr>
              <w:t>FOR AND ON BEHALF OF THE SELLER</w:t>
              <w:br/>
              <w:t>ĐẠI DIỆN BÊN BÁN</w:t>
              <w:br/>
              <w:t>GLOBAL SOLUTION SERVICE CO., LTD</w:t>
            </w:r>
          </w:p>
        </w:tc>
        <w:tc>
          <w:tcPr>
            <w:tcW w:type="dxa" w:w="4752"/>
          </w:tcPr>
          <w:p>
            <w:pPr>
              <w:jc w:val="center"/>
            </w:pPr>
            <w:r>
              <w:rPr>
                <w:rFonts w:ascii="Times New Roman" w:hAnsi="Times New Roman"/>
                <w:b/>
                <w:color w:val="000000"/>
                <w:sz w:val="20"/>
              </w:rPr>
              <w:t>FOR AND ON BEHALF OF THE BUYER</w:t>
              <w:br/>
              <w:t>ĐẠI DIỆN BÊN MUA</w:t>
              <w:br/>
              <w:t>[BUYER_COMPANY_NAME]</w:t>
            </w:r>
          </w:p>
        </w:tc>
      </w:tr>
      <w:tr>
        <w:tc>
          <w:tcPr>
            <w:tcW w:type="dxa" w:w="4896"/>
          </w:tcPr>
          <w:p>
            <w:pPr>
              <w:jc w:val="center"/>
            </w:pPr>
            <w:r>
              <w:rPr>
                <w:rFonts w:ascii="Times New Roman" w:hAnsi="Times New Roman"/>
                <w:b/>
                <w:color w:val="000000"/>
                <w:sz w:val="19"/>
              </w:rPr>
              <w:br/>
              <w:br/>
              <w:br/>
              <w:br/>
              <w:t>_____________________________________</w:t>
              <w:br/>
              <w:t>NGUYEN VAN TRUNG</w:t>
              <w:br/>
              <w:t>Director / Giám đốc</w:t>
              <w:br/>
              <w:t>(Signed &amp; Sealed / Đã ký và đóng dấu)</w:t>
            </w:r>
          </w:p>
        </w:tc>
        <w:tc>
          <w:tcPr>
            <w:tcW w:type="dxa" w:w="4896"/>
          </w:tcPr>
          <w:p>
            <w:pPr>
              <w:jc w:val="center"/>
            </w:pPr>
            <w:r>
              <w:rPr>
                <w:rFonts w:ascii="Times New Roman" w:hAnsi="Times New Roman"/>
                <w:b/>
                <w:color w:val="000000"/>
                <w:sz w:val="19"/>
              </w:rPr>
              <w:br/>
              <w:br/>
              <w:br/>
              <w:br/>
              <w:t>_____________________________________</w:t>
              <w:br/>
              <w:t>[BUYER_REPRESENTATIVE_NAME]</w:t>
              <w:br/>
              <w:t>[BUYER_POSITION]</w:t>
              <w:br/>
              <w:t>(Signed &amp; Sealed / Đã ký và đóng dấu)</w:t>
            </w:r>
          </w:p>
        </w:tc>
      </w:tr>
    </w:tbl>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7"/>
      </w:rPr>
      <w:t xml:space="preserve">GLOBAL SOLUTION SERVICE CO., LTD (TAX: 0109469047)                         Page / Trang </w:t>
    </w:r>
    <w:r>
      <w:rPr>
        <w:rFonts w:ascii="Times New Roman" w:hAnsi="Times New Roman"/>
        <w:color w:val="000000"/>
        <w:sz w:val="17"/>
      </w:rPr>
      <w:fldChar w:fldCharType="begin"/>
      <w:instrText xml:space="preserve"> PAGE </w:instrText>
      <w:fldChar w:fldCharType="separate"/>
      <w:fldChar w:fldCharType="end"/>
    </w:r>
    <w:r>
      <w:rPr>
        <w:rFonts w:ascii="Times New Roman" w:hAnsi="Times New Roman"/>
        <w:color w:val="000000"/>
        <w:sz w:val="17"/>
      </w:rPr>
      <w:t xml:space="preserve"> / </w:t>
    </w:r>
    <w:r>
      <w:rPr>
        <w:rFonts w:ascii="Times New Roman" w:hAnsi="Times New Roman"/>
        <w:color w:val="000000"/>
        <w:sz w:val="17"/>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