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Times New Roman" w:hAnsi="Times New Roman"/>
          <w:b/>
          <w:color w:val="000000"/>
          <w:sz w:val="26"/>
        </w:rPr>
        <w:t>HỢP ĐỒNG KHUNG MUA BÁN HÀNG HÓA QUỐC TẾ</w:t>
      </w:r>
    </w:p>
    <w:p>
      <w:pPr>
        <w:spacing w:after="80"/>
        <w:jc w:val="center"/>
      </w:pPr>
      <w:r>
        <w:rPr>
          <w:rFonts w:ascii="Times New Roman" w:hAnsi="Times New Roman"/>
          <w:b/>
          <w:color w:val="000000"/>
          <w:sz w:val="24"/>
        </w:rPr>
        <w:t>MASTER INTERNATIONAL SALE OF GOODS AGREEMENT</w:t>
      </w:r>
    </w:p>
    <w:p>
      <w:pPr>
        <w:spacing w:after="40"/>
        <w:jc w:val="center"/>
      </w:pPr>
      <w:r>
        <w:rPr>
          <w:rFonts w:ascii="Times New Roman" w:hAnsi="Times New Roman"/>
          <w:b/>
          <w:color w:val="000000"/>
          <w:sz w:val="20"/>
        </w:rPr>
        <w:t>Số / No.: GSS-[BUYER_CODE]-[YEAR]-MFA / [SO_HOP_DONG_NGUYEN_TAC]</w:t>
      </w:r>
    </w:p>
    <w:p>
      <w:pPr>
        <w:spacing w:after="200"/>
        <w:jc w:val="center"/>
      </w:pPr>
      <w:r>
        <w:rPr>
          <w:rFonts w:ascii="Times New Roman" w:hAnsi="Times New Roman"/>
          <w:color w:val="000000"/>
          <w:sz w:val="19"/>
        </w:rPr>
        <w:t>Ngày ký / Signing Date: [SIGNING_DATE] / [NGÀY_KÝ]</w:t>
      </w:r>
    </w:p>
    <w:p>
      <w:pPr>
        <w:spacing w:after="160" w:line="276" w:lineRule="auto"/>
      </w:pPr>
      <w:r>
        <w:rPr>
          <w:rFonts w:ascii="Times New Roman" w:hAnsi="Times New Roman"/>
          <w:color w:val="000000"/>
          <w:sz w:val="19"/>
        </w:rPr>
        <w:t>Căn cứ Bộ luật Dân sự và Luật Thương mại của nước Cộng hòa Xã hội Chủ nghĩa Việt Nam; căn cứ nhu cầu và năng lực của các Bên, các Bên thống nhất ký kết Hợp đồng này.</w:t>
        <w:br/>
      </w:r>
      <w:r>
        <w:rPr>
          <w:rFonts w:ascii="Times New Roman" w:hAnsi="Times New Roman"/>
          <w:i/>
          <w:color w:val="000000"/>
          <w:sz w:val="18"/>
        </w:rPr>
        <w:t>Pursuant to the Civil Code and the Commercial Law of the Socialist Republic of Vietnam, and based on the needs and capabilities of the Parties, the Parties agree to enter into this Agreement.</w:t>
      </w:r>
    </w:p>
    <w:p>
      <w:pPr>
        <w:spacing w:before="80" w:after="80"/>
      </w:pPr>
      <w:r>
        <w:rPr>
          <w:rFonts w:ascii="Times New Roman" w:hAnsi="Times New Roman"/>
          <w:b/>
          <w:color w:val="000000"/>
          <w:sz w:val="21"/>
        </w:rPr>
        <w:t>THÔNG TIN CÁC BÊN / THE PARTIES</w:t>
      </w:r>
    </w:p>
    <w:tbl>
      <w:tblPr>
        <w:tblW w:type="auto" w:w="0"/>
        <w:jc w:val="center"/>
        <w:tblLook w:firstColumn="1" w:firstRow="1" w:lastColumn="0" w:lastRow="0" w:noHBand="0" w:noVBand="1" w:val="04A0"/>
      </w:tblPr>
      <w:tblGrid>
        <w:gridCol w:w="4896"/>
        <w:gridCol w:w="4896"/>
      </w:tblGrid>
      <w:tr>
        <w:tc>
          <w:tcPr>
            <w:tcW w:type="dxa" w:w="4896"/>
            <w:shd w:fill="E8E8E8"/>
            <w:tcBorders>
              <w:top w:val="single" w:sz="4" w:space="0" w:color="000000"/>
              <w:left w:val="single" w:sz="4" w:space="0" w:color="000000"/>
              <w:bottom w:val="single" w:sz="4" w:space="0" w:color="000000"/>
              <w:right w:val="single" w:sz="4" w:space="0" w:color="000000"/>
            </w:tcBorders>
          </w:tcPr>
          <w:p>
            <w:pPr>
              <w:jc w:val="center"/>
            </w:pPr>
            <w:r>
              <w:rPr>
                <w:rFonts w:ascii="Times New Roman" w:hAnsi="Times New Roman"/>
                <w:b/>
                <w:color w:val="000000"/>
                <w:sz w:val="19"/>
              </w:rPr>
              <w:t>BÊN A — BÊN BÁN</w:t>
              <w:br/>
              <w:t>PARTY A — SELLER</w:t>
            </w:r>
          </w:p>
        </w:tc>
        <w:tc>
          <w:tcPr>
            <w:tcW w:type="dxa" w:w="4896"/>
            <w:shd w:fill="E8E8E8"/>
            <w:tcBorders>
              <w:top w:val="single" w:sz="4" w:space="0" w:color="000000"/>
              <w:left w:val="single" w:sz="4" w:space="0" w:color="000000"/>
              <w:bottom w:val="single" w:sz="4" w:space="0" w:color="000000"/>
              <w:right w:val="single" w:sz="4" w:space="0" w:color="000000"/>
            </w:tcBorders>
          </w:tcPr>
          <w:p>
            <w:pPr>
              <w:jc w:val="center"/>
            </w:pPr>
            <w:r>
              <w:rPr>
                <w:rFonts w:ascii="Times New Roman" w:hAnsi="Times New Roman"/>
                <w:b/>
                <w:color w:val="000000"/>
                <w:sz w:val="19"/>
              </w:rPr>
              <w:t>BÊN B — BÊN MUA</w:t>
              <w:br/>
              <w:t>PARTY B — BUYER</w:t>
            </w:r>
          </w:p>
        </w:tc>
      </w:tr>
      <w:tr>
        <w:tc>
          <w:tcPr>
            <w:tcW w:type="dxa" w:w="4896"/>
            <w:tcBorders>
              <w:top w:val="single" w:sz="4" w:space="0" w:color="000000"/>
              <w:left w:val="single" w:sz="4" w:space="0" w:color="000000"/>
              <w:bottom w:val="single" w:sz="4" w:space="0" w:color="000000"/>
              <w:right w:val="single" w:sz="4" w:space="0" w:color="000000"/>
            </w:tcBorders>
          </w:tcPr>
          <w:p>
            <w:pPr>
              <w:spacing w:after="40" w:line="276" w:lineRule="auto"/>
            </w:pPr>
            <w:r>
              <w:rPr>
                <w:rFonts w:ascii="Times New Roman" w:hAnsi="Times New Roman"/>
                <w:b/>
                <w:color w:val="000000"/>
                <w:sz w:val="17"/>
              </w:rPr>
              <w:t xml:space="preserve">Tên Bên Bán / Seller Name: </w:t>
            </w:r>
            <w:r>
              <w:rPr>
                <w:rFonts w:ascii="Times New Roman" w:hAnsi="Times New Roman"/>
                <w:color w:val="000000"/>
                <w:sz w:val="17"/>
              </w:rPr>
              <w:t>GLOBAL SOLUTION SERVICE COMPANY LIMITED (G-SS CO.,LTD)</w:t>
              <w:br/>
              <w:t>CÔNG TY TNHH GLOBAL SOLUTION SERVICE</w:t>
              <w:br/>
            </w:r>
            <w:r>
              <w:rPr>
                <w:rFonts w:ascii="Times New Roman" w:hAnsi="Times New Roman"/>
                <w:b/>
                <w:color w:val="000000"/>
                <w:sz w:val="17"/>
              </w:rPr>
              <w:t xml:space="preserve">Mã số thuế / Tax Code: </w:t>
            </w:r>
            <w:r>
              <w:rPr>
                <w:rFonts w:ascii="Times New Roman" w:hAnsi="Times New Roman"/>
                <w:color w:val="000000"/>
                <w:sz w:val="17"/>
              </w:rPr>
              <w:t>0109469047</w:t>
              <w:br/>
            </w:r>
            <w:r>
              <w:rPr>
                <w:rFonts w:ascii="Times New Roman" w:hAnsi="Times New Roman"/>
                <w:b/>
                <w:color w:val="000000"/>
                <w:sz w:val="17"/>
              </w:rPr>
              <w:t xml:space="preserve">Trụ sở ĐKKD / Registered Address: </w:t>
            </w:r>
            <w:r>
              <w:rPr>
                <w:rFonts w:ascii="Times New Roman" w:hAnsi="Times New Roman"/>
                <w:color w:val="000000"/>
                <w:sz w:val="17"/>
              </w:rPr>
              <w:t>18th Floor, CEO Tower, Plot HH2-1, Me Tri Ha Urban Area, Pham Hung Road, Tu Liem Ward, Hanoi, Vietnam</w:t>
              <w:br/>
              <w:t>Tầng 18, tòa nhà CEO Tower, Lô HH2-1, Khu đô thị Mễ Trì Hạ, đường Phạm Hùng, Phường Từ Liêm, Thành phố Hà Nội, Việt Nam</w:t>
              <w:br/>
            </w:r>
            <w:r>
              <w:rPr>
                <w:rFonts w:ascii="Times New Roman" w:hAnsi="Times New Roman"/>
                <w:b/>
                <w:color w:val="000000"/>
                <w:sz w:val="17"/>
              </w:rPr>
              <w:t xml:space="preserve">Người đại diện / Represented by: </w:t>
            </w:r>
            <w:r>
              <w:rPr>
                <w:rFonts w:ascii="Times New Roman" w:hAnsi="Times New Roman"/>
                <w:color w:val="000000"/>
                <w:sz w:val="17"/>
              </w:rPr>
              <w:t>Mr. NGUYEN VAN TRUNG — Director / Ông NGUYỄN VĂN TRUNG — Giám đốc</w:t>
              <w:br/>
            </w:r>
            <w:r>
              <w:rPr>
                <w:rFonts w:ascii="Times New Roman" w:hAnsi="Times New Roman"/>
                <w:b/>
                <w:color w:val="000000"/>
                <w:sz w:val="17"/>
              </w:rPr>
              <w:t xml:space="preserve">Điện thoại / Hotline: </w:t>
            </w:r>
            <w:r>
              <w:rPr>
                <w:rFonts w:ascii="Times New Roman" w:hAnsi="Times New Roman"/>
                <w:color w:val="000000"/>
                <w:sz w:val="17"/>
              </w:rPr>
              <w:t>(+84) 966 688 525</w:t>
              <w:br/>
            </w:r>
            <w:r>
              <w:rPr>
                <w:rFonts w:ascii="Times New Roman" w:hAnsi="Times New Roman"/>
                <w:b/>
                <w:color w:val="000000"/>
                <w:sz w:val="17"/>
              </w:rPr>
              <w:t xml:space="preserve">Email liên hệ: </w:t>
            </w:r>
            <w:r>
              <w:rPr>
                <w:rFonts w:ascii="Times New Roman" w:hAnsi="Times New Roman"/>
                <w:color w:val="000000"/>
                <w:sz w:val="17"/>
              </w:rPr>
              <w:t>trungnv.gss@gmail.com / safetylife.1st@gmail.com</w:t>
              <w:br/>
            </w:r>
            <w:r>
              <w:rPr>
                <w:rFonts w:ascii="Times New Roman" w:hAnsi="Times New Roman"/>
                <w:b/>
                <w:color w:val="000000"/>
                <w:sz w:val="17"/>
              </w:rPr>
              <w:t xml:space="preserve">Tài khoản USD / Bank Account: </w:t>
            </w:r>
            <w:r>
              <w:rPr>
                <w:rFonts w:ascii="Times New Roman" w:hAnsi="Times New Roman"/>
                <w:color w:val="000000"/>
                <w:sz w:val="17"/>
              </w:rPr>
              <w:t>Acc No.: 9489773866038 | Bank: Military Commercial Joint Stock Bank (MB Bank) — Phung Hung Branch, Hanoi | SWIFT: MSCBVNVX</w:t>
              <w:br/>
            </w:r>
          </w:p>
        </w:tc>
        <w:tc>
          <w:tcPr>
            <w:tcW w:type="dxa" w:w="4896"/>
            <w:tcBorders>
              <w:top w:val="single" w:sz="4" w:space="0" w:color="000000"/>
              <w:left w:val="single" w:sz="4" w:space="0" w:color="000000"/>
              <w:bottom w:val="single" w:sz="4" w:space="0" w:color="000000"/>
              <w:right w:val="single" w:sz="4" w:space="0" w:color="000000"/>
            </w:tcBorders>
          </w:tcPr>
          <w:p>
            <w:pPr>
              <w:spacing w:after="40" w:line="276" w:lineRule="auto"/>
            </w:pPr>
            <w:r>
              <w:rPr>
                <w:rFonts w:ascii="Times New Roman" w:hAnsi="Times New Roman"/>
                <w:b/>
                <w:color w:val="000000"/>
                <w:sz w:val="17"/>
              </w:rPr>
              <w:t xml:space="preserve">Tên Bên Mua / Buyer Name: </w:t>
            </w:r>
            <w:r>
              <w:rPr>
                <w:rFonts w:ascii="Times New Roman" w:hAnsi="Times New Roman"/>
                <w:color w:val="000000"/>
                <w:sz w:val="17"/>
              </w:rPr>
              <w:t>[BUYER_COMPANY_NAME]</w:t>
              <w:br/>
              <w:t>[BUYER_LEGAL_ENTITY_NAME]</w:t>
              <w:br/>
            </w:r>
            <w:r>
              <w:rPr>
                <w:rFonts w:ascii="Times New Roman" w:hAnsi="Times New Roman"/>
                <w:b/>
                <w:color w:val="000000"/>
                <w:sz w:val="17"/>
              </w:rPr>
              <w:t xml:space="preserve">Mã số thuế / Tax Code: </w:t>
            </w:r>
            <w:r>
              <w:rPr>
                <w:rFonts w:ascii="Times New Roman" w:hAnsi="Times New Roman"/>
                <w:color w:val="000000"/>
                <w:sz w:val="17"/>
              </w:rPr>
              <w:t>[BUYER_TAX_CODE_OR_REG_NO]</w:t>
              <w:br/>
            </w:r>
            <w:r>
              <w:rPr>
                <w:rFonts w:ascii="Times New Roman" w:hAnsi="Times New Roman"/>
                <w:b/>
                <w:color w:val="000000"/>
                <w:sz w:val="17"/>
              </w:rPr>
              <w:t xml:space="preserve">Trụ sở ĐKKD / Registered Address: </w:t>
            </w:r>
            <w:r>
              <w:rPr>
                <w:rFonts w:ascii="Times New Roman" w:hAnsi="Times New Roman"/>
                <w:color w:val="000000"/>
                <w:sz w:val="17"/>
              </w:rPr>
              <w:t>[BUYER_REGISTERED_OFFICE_ADDRESS]</w:t>
              <w:br/>
            </w:r>
            <w:r>
              <w:rPr>
                <w:rFonts w:ascii="Times New Roman" w:hAnsi="Times New Roman"/>
                <w:b/>
                <w:color w:val="000000"/>
                <w:sz w:val="17"/>
              </w:rPr>
              <w:t xml:space="preserve">Người đại diện / Represented by: </w:t>
            </w:r>
            <w:r>
              <w:rPr>
                <w:rFonts w:ascii="Times New Roman" w:hAnsi="Times New Roman"/>
                <w:color w:val="000000"/>
                <w:sz w:val="17"/>
              </w:rPr>
              <w:t>[BUYER_AUTHORIZED_REPRESENTATIVE_NAME] — [BUYER_POSITION]</w:t>
              <w:br/>
            </w:r>
            <w:r>
              <w:rPr>
                <w:rFonts w:ascii="Times New Roman" w:hAnsi="Times New Roman"/>
                <w:b/>
                <w:color w:val="000000"/>
                <w:sz w:val="17"/>
              </w:rPr>
              <w:t xml:space="preserve">Điện thoại / Hotline: </w:t>
            </w:r>
            <w:r>
              <w:rPr>
                <w:rFonts w:ascii="Times New Roman" w:hAnsi="Times New Roman"/>
                <w:color w:val="000000"/>
                <w:sz w:val="17"/>
              </w:rPr>
              <w:t>[BUYER_TELEPHONE_NUMBER]</w:t>
              <w:br/>
            </w:r>
            <w:r>
              <w:rPr>
                <w:rFonts w:ascii="Times New Roman" w:hAnsi="Times New Roman"/>
                <w:b/>
                <w:color w:val="000000"/>
                <w:sz w:val="17"/>
              </w:rPr>
              <w:t xml:space="preserve">Email liên hệ: </w:t>
            </w:r>
            <w:r>
              <w:rPr>
                <w:rFonts w:ascii="Times New Roman" w:hAnsi="Times New Roman"/>
                <w:color w:val="000000"/>
                <w:sz w:val="17"/>
              </w:rPr>
              <w:t>[BUYER_OFFICIAL_CONTACT_EMAIL]</w:t>
              <w:br/>
            </w:r>
            <w:r>
              <w:rPr>
                <w:rFonts w:ascii="Times New Roman" w:hAnsi="Times New Roman"/>
                <w:b/>
                <w:color w:val="000000"/>
                <w:sz w:val="17"/>
              </w:rPr>
              <w:t xml:space="preserve">Tài khoản ngân hàng / Bank Details: </w:t>
            </w:r>
            <w:r>
              <w:rPr>
                <w:rFonts w:ascii="Times New Roman" w:hAnsi="Times New Roman"/>
                <w:color w:val="000000"/>
                <w:sz w:val="17"/>
              </w:rPr>
              <w:t>Bank Name: [BUYER_DESIGNATED_BANK_NAME] | Acc No.: [BUYER_BANK_ACCOUNT_NO] | SWIFT: [BUYER_SWIFT_CODE]</w:t>
              <w:br/>
            </w:r>
          </w:p>
        </w:tc>
      </w:tr>
    </w:tbl>
    <w:p>
      <w:pPr>
        <w:keepNext/>
        <w:spacing w:before="160" w:after="40"/>
      </w:pPr>
      <w:r>
        <w:rPr>
          <w:rFonts w:ascii="Times New Roman" w:hAnsi="Times New Roman"/>
          <w:b/>
          <w:color w:val="000000"/>
          <w:sz w:val="20"/>
        </w:rPr>
        <w:t>ĐIỀU 1 / ARTICLE 1: PHẠM VI VÀ MỤC ĐÍCH HỢP TÁC / SCOPE AND PURPOSE</w:t>
      </w:r>
    </w:p>
    <w:p>
      <w:pPr>
        <w:spacing w:before="20" w:after="80" w:line="276" w:lineRule="auto"/>
      </w:pPr>
      <w:r>
        <w:rPr>
          <w:rFonts w:ascii="Times New Roman" w:hAnsi="Times New Roman"/>
          <w:color w:val="000000"/>
          <w:sz w:val="19"/>
        </w:rPr>
        <w:t>1.1. Hợp đồng này là hợp đồng khung điều chỉnh các giao dịch mua bán hàng hóa quốc tế giữa Bên A và Bên B trong thời hạn Hợp đồng. Hàng hóa có thể bao gồm thực phẩm, bánh snack, đồ uống, hàng tiêu dùng và các hàng hóa khác do các Bên thống nhất bằng văn bản.</w:t>
        <w:br/>
      </w:r>
      <w:r>
        <w:rPr>
          <w:rFonts w:ascii="Times New Roman" w:hAnsi="Times New Roman"/>
          <w:i/>
          <w:color w:val="000000"/>
          <w:sz w:val="18"/>
        </w:rPr>
        <w:t>1.1. This Agreement is a master framework governing international sale of goods transactions between Party A and Party B during its term. Goods may include food products, snacks, beverages, consumer goods, and other commodities agreed in writing by the Parties.</w:t>
      </w:r>
    </w:p>
    <w:p>
      <w:pPr>
        <w:spacing w:before="20" w:after="80" w:line="276" w:lineRule="auto"/>
      </w:pPr>
      <w:r>
        <w:rPr>
          <w:rFonts w:ascii="Times New Roman" w:hAnsi="Times New Roman"/>
          <w:color w:val="000000"/>
          <w:sz w:val="19"/>
        </w:rPr>
        <w:t>1.2. Số lượng, chủng loại, quy cách, mã HS, đơn giá, tổng giá trị, điều kiện giao hàng, địa điểm giao hàng, thời hạn giao hàng và điều kiện thanh toán của từng đơn hàng được quy định tại Phụ lục Đặt hàng (Đơn đặt hàng - PO) tương ứng ký kết giữa hai Bên.</w:t>
        <w:br/>
      </w:r>
      <w:r>
        <w:rPr>
          <w:rFonts w:ascii="Times New Roman" w:hAnsi="Times New Roman"/>
          <w:i/>
          <w:color w:val="000000"/>
          <w:sz w:val="18"/>
        </w:rPr>
        <w:t>1.2. The quantity, type, specifications, HS code, unit price, total value, delivery terms, delivery place, delivery time, and payment terms of each order shall be specified in the relevant Order Appendix (Purchase Order - PO) executed between the Parties.</w:t>
      </w:r>
    </w:p>
    <w:p>
      <w:pPr>
        <w:spacing w:before="20" w:after="80" w:line="276" w:lineRule="auto"/>
      </w:pPr>
      <w:r>
        <w:rPr>
          <w:rFonts w:ascii="Times New Roman" w:hAnsi="Times New Roman"/>
          <w:color w:val="000000"/>
          <w:sz w:val="19"/>
        </w:rPr>
        <w:t>1.3. Không có nghĩa vụ về số lượng tối thiểu hoặc cam kết doanh số, trừ khi được quy định rõ trong một Phụ lục Đặt hàng đã ký.</w:t>
        <w:br/>
      </w:r>
      <w:r>
        <w:rPr>
          <w:rFonts w:ascii="Times New Roman" w:hAnsi="Times New Roman"/>
          <w:i/>
          <w:color w:val="000000"/>
          <w:sz w:val="18"/>
        </w:rPr>
        <w:t>1.3. No minimum purchase quantity or sales commitment shall apply unless expressly stated in a signed Order Appendix.</w:t>
      </w:r>
    </w:p>
    <w:p>
      <w:pPr>
        <w:keepNext/>
        <w:spacing w:before="160" w:after="40"/>
      </w:pPr>
      <w:r>
        <w:rPr>
          <w:rFonts w:ascii="Times New Roman" w:hAnsi="Times New Roman"/>
          <w:b/>
          <w:color w:val="000000"/>
          <w:sz w:val="20"/>
        </w:rPr>
        <w:t>ĐIỀU 2 / ARTICLE 2: ĐẶT HÀNG VÀ PHỤ LỤC ĐẶT HÀNG / ORDERS AND ORDER APPENDICES</w:t>
      </w:r>
    </w:p>
    <w:p>
      <w:pPr>
        <w:spacing w:before="20" w:after="80" w:line="276" w:lineRule="auto"/>
      </w:pPr>
      <w:r>
        <w:rPr>
          <w:rFonts w:ascii="Times New Roman" w:hAnsi="Times New Roman"/>
          <w:color w:val="000000"/>
          <w:sz w:val="19"/>
        </w:rPr>
        <w:t>2.1. Mỗi đơn hàng được xác lập bằng một Phụ lục Đặt hàng có chữ ký hợp lệ của hai Bên hoặc bằng hình thức điện tử được hai Bên chấp thuận.</w:t>
        <w:br/>
      </w:r>
      <w:r>
        <w:rPr>
          <w:rFonts w:ascii="Times New Roman" w:hAnsi="Times New Roman"/>
          <w:i/>
          <w:color w:val="000000"/>
          <w:sz w:val="18"/>
        </w:rPr>
        <w:t>2.1. Each order shall be established by an Order Appendix duly signed by both Parties or by an electronic form mutually accepted by both Parties.</w:t>
      </w:r>
    </w:p>
    <w:p>
      <w:pPr>
        <w:spacing w:before="20" w:after="80" w:line="276" w:lineRule="auto"/>
      </w:pPr>
      <w:r>
        <w:rPr>
          <w:rFonts w:ascii="Times New Roman" w:hAnsi="Times New Roman"/>
          <w:color w:val="000000"/>
          <w:sz w:val="19"/>
        </w:rPr>
        <w:t>2.2. Phụ lục Đặt hàng là một phần không tách rời của Hợp đồng này. Các điều khoản riêng của Phụ lục Đặt hàng sẽ được ưu tiên áp dụng đối với các vấn đề chỉ áp dụng cho đơn hàng đó.</w:t>
        <w:br/>
      </w:r>
      <w:r>
        <w:rPr>
          <w:rFonts w:ascii="Times New Roman" w:hAnsi="Times New Roman"/>
          <w:i/>
          <w:color w:val="000000"/>
          <w:sz w:val="18"/>
        </w:rPr>
        <w:t>2.2. Each Order Appendix forms an integral part of this Agreement. The specific terms of an Order Appendix shall prevail with respect to matters applicable only to that order.</w:t>
      </w:r>
    </w:p>
    <w:p>
      <w:pPr>
        <w:spacing w:before="20" w:after="80" w:line="276" w:lineRule="auto"/>
      </w:pPr>
      <w:r>
        <w:rPr>
          <w:rFonts w:ascii="Times New Roman" w:hAnsi="Times New Roman"/>
          <w:color w:val="000000"/>
          <w:sz w:val="19"/>
        </w:rPr>
        <w:t>2.3. Trường hợp Phụ lục Đặt hàng không quy định khác, các điều khoản chung của Hợp đồng khung này sẽ được áp dụng.</w:t>
        <w:br/>
      </w:r>
      <w:r>
        <w:rPr>
          <w:rFonts w:ascii="Times New Roman" w:hAnsi="Times New Roman"/>
          <w:i/>
          <w:color w:val="000000"/>
          <w:sz w:val="18"/>
        </w:rPr>
        <w:t>2.3. Unless otherwise specified in an Order Appendix, the general terms and conditions of this Master Agreement shall apply.</w:t>
      </w:r>
    </w:p>
    <w:p>
      <w:pPr>
        <w:keepNext/>
        <w:spacing w:before="160" w:after="40"/>
      </w:pPr>
      <w:r>
        <w:rPr>
          <w:rFonts w:ascii="Times New Roman" w:hAnsi="Times New Roman"/>
          <w:b/>
          <w:color w:val="000000"/>
          <w:sz w:val="20"/>
        </w:rPr>
        <w:t>ĐIỀU 3 / ARTICLE 3: HÀNG HÓA, CHẤT LƯỢNG VÀ BAO BÌ / GOODS, QUALITY AND PACKING</w:t>
      </w:r>
    </w:p>
    <w:p>
      <w:pPr>
        <w:spacing w:before="20" w:after="80" w:line="276" w:lineRule="auto"/>
      </w:pPr>
      <w:r>
        <w:rPr>
          <w:rFonts w:ascii="Times New Roman" w:hAnsi="Times New Roman"/>
          <w:color w:val="000000"/>
          <w:sz w:val="19"/>
        </w:rPr>
        <w:t>3.1. Bên A bán cho Bên B hàng hóa thuộc quyền sở hữu hoặc quyền bán hợp pháp của Bên A và phù hợp với mô tả, quy cách và tài liệu đã được thống nhất trong Phụ lục Đặt hàng.</w:t>
        <w:br/>
      </w:r>
      <w:r>
        <w:rPr>
          <w:rFonts w:ascii="Times New Roman" w:hAnsi="Times New Roman"/>
          <w:i/>
          <w:color w:val="000000"/>
          <w:sz w:val="18"/>
        </w:rPr>
        <w:t>3.1. Party A shall sell goods owned by Party A or lawfully available for sale by Party A, conforming to the descriptions, technical specifications, and documents agreed in the relevant Order Appendix.</w:t>
      </w:r>
    </w:p>
    <w:p>
      <w:pPr>
        <w:spacing w:before="20" w:after="80" w:line="276" w:lineRule="auto"/>
      </w:pPr>
      <w:r>
        <w:rPr>
          <w:rFonts w:ascii="Times New Roman" w:hAnsi="Times New Roman"/>
          <w:color w:val="000000"/>
          <w:sz w:val="19"/>
        </w:rPr>
        <w:t>3.2. Hàng hóa phải là hàng mới, trong bao bì của nhà sản xuất, phù hợp với các yêu cầu pháp luật Việt Nam áp dụng đối với hàng hóa xuất khẩu.</w:t>
        <w:br/>
      </w:r>
      <w:r>
        <w:rPr>
          <w:rFonts w:ascii="Times New Roman" w:hAnsi="Times New Roman"/>
          <w:i/>
          <w:color w:val="000000"/>
          <w:sz w:val="18"/>
        </w:rPr>
        <w:t>3.2. Goods shall be new, in the manufacturer's original packaging, complying with applicable Vietnamese legal requirements and standards for exported goods.</w:t>
      </w:r>
    </w:p>
    <w:p>
      <w:pPr>
        <w:spacing w:before="20" w:after="80" w:line="276" w:lineRule="auto"/>
      </w:pPr>
      <w:r>
        <w:rPr>
          <w:rFonts w:ascii="Times New Roman" w:hAnsi="Times New Roman"/>
          <w:color w:val="000000"/>
          <w:sz w:val="19"/>
        </w:rPr>
        <w:t>3.3. Quy định về hạn sử dụng, thời hạn sử dụng còn lại, nhãn mác, bao bì đóng gói, trọng lượng và tiêu chuẩn chất lượng cụ thể sẽ được ghi chi tiết tại Phụ lục Đặt hàng tương ứng khi cần thiết.</w:t>
        <w:br/>
      </w:r>
      <w:r>
        <w:rPr>
          <w:rFonts w:ascii="Times New Roman" w:hAnsi="Times New Roman"/>
          <w:i/>
          <w:color w:val="000000"/>
          <w:sz w:val="18"/>
        </w:rPr>
        <w:t>3.3. Specific requirements regarding shelf life, remaining shelf life, product labeling, packaging specifications, gross/net weight, and quality criteria shall be detailed in the relevant Order Appendix where applicable.</w:t>
      </w:r>
    </w:p>
    <w:p>
      <w:pPr>
        <w:keepNext/>
        <w:spacing w:before="160" w:after="40"/>
      </w:pPr>
      <w:r>
        <w:rPr>
          <w:rFonts w:ascii="Times New Roman" w:hAnsi="Times New Roman"/>
          <w:b/>
          <w:color w:val="000000"/>
          <w:sz w:val="20"/>
        </w:rPr>
        <w:t>ĐIỀU 4 / ARTICLE 4: GIÁ CẢ VÀ ĐỒNG TIỀN THANH TOÁN / PRICE AND CURRENCY</w:t>
      </w:r>
    </w:p>
    <w:p>
      <w:pPr>
        <w:spacing w:before="20" w:after="80" w:line="276" w:lineRule="auto"/>
      </w:pPr>
      <w:r>
        <w:rPr>
          <w:rFonts w:ascii="Times New Roman" w:hAnsi="Times New Roman"/>
          <w:color w:val="000000"/>
          <w:sz w:val="19"/>
        </w:rPr>
        <w:t>4.1. Đồng tiền giao dịch mặc định là Đô la Mỹ (USD), trừ khi Phụ lục Đặt hàng quy định khác.</w:t>
        <w:br/>
      </w:r>
      <w:r>
        <w:rPr>
          <w:rFonts w:ascii="Times New Roman" w:hAnsi="Times New Roman"/>
          <w:i/>
          <w:color w:val="000000"/>
          <w:sz w:val="18"/>
        </w:rPr>
        <w:t>4.1. The default transaction currency is United States Dollars (USD), unless otherwise specified in an Order Appendix.</w:t>
      </w:r>
    </w:p>
    <w:p>
      <w:pPr>
        <w:spacing w:before="20" w:after="80" w:line="276" w:lineRule="auto"/>
      </w:pPr>
      <w:r>
        <w:rPr>
          <w:rFonts w:ascii="Times New Roman" w:hAnsi="Times New Roman"/>
          <w:color w:val="000000"/>
          <w:sz w:val="19"/>
        </w:rPr>
        <w:t>4.2. Đơn giá và tổng giá trị của từng đơn hàng là giá được ghi trong Phụ lục Đặt hàng. Mức giá đã thỏa thuận được hiểu là giá áp dụng cho đúng điều kiện giao hàng và quy cách của đơn hàng đó.</w:t>
        <w:br/>
      </w:r>
      <w:r>
        <w:rPr>
          <w:rFonts w:ascii="Times New Roman" w:hAnsi="Times New Roman"/>
          <w:i/>
          <w:color w:val="000000"/>
          <w:sz w:val="18"/>
        </w:rPr>
        <w:t>4.2. The unit price and total value of each order shall be those stated in the relevant Order Appendix. The agreed price shall apply strictly to the delivery terms and product specifications stated for that order.</w:t>
      </w:r>
    </w:p>
    <w:p>
      <w:pPr>
        <w:keepNext/>
        <w:spacing w:before="160" w:after="40"/>
      </w:pPr>
      <w:r>
        <w:rPr>
          <w:rFonts w:ascii="Times New Roman" w:hAnsi="Times New Roman"/>
          <w:b/>
          <w:color w:val="000000"/>
          <w:sz w:val="20"/>
        </w:rPr>
        <w:t>ĐIỀU 5 / ARTICLE 5: ĐIỀU KIỆN GIAO HÀNG VÀ CHUYỂN GIAO RỦI RO / DELIVERY TERMS AND TRANSFER OF RISK</w:t>
      </w:r>
    </w:p>
    <w:p>
      <w:pPr>
        <w:spacing w:before="20" w:after="80" w:line="276" w:lineRule="auto"/>
      </w:pPr>
      <w:r>
        <w:rPr>
          <w:rFonts w:ascii="Times New Roman" w:hAnsi="Times New Roman"/>
          <w:color w:val="000000"/>
          <w:sz w:val="19"/>
        </w:rPr>
        <w:t>5.1. Incoterms và địa điểm giao hàng của từng đơn hàng sẽ được quy định trong Phụ lục Đặt hàng. Incoterms 2020 được áp dụng nếu Phụ lục Đặt hàng dẫn chiếu đến Incoterms mà không quy định phiên bản khác.</w:t>
        <w:br/>
      </w:r>
      <w:r>
        <w:rPr>
          <w:rFonts w:ascii="Times New Roman" w:hAnsi="Times New Roman"/>
          <w:i/>
          <w:color w:val="000000"/>
          <w:sz w:val="18"/>
        </w:rPr>
        <w:t>5.1. The applicable Incoterm and delivery place for each order shall be specified in the relevant Order Appendix. Incoterms 2020 shall apply where an Incoterm is referenced without specifying another version.</w:t>
      </w:r>
    </w:p>
    <w:p>
      <w:pPr>
        <w:spacing w:before="20" w:after="80" w:line="276" w:lineRule="auto"/>
      </w:pPr>
      <w:r>
        <w:rPr>
          <w:rFonts w:ascii="Times New Roman" w:hAnsi="Times New Roman"/>
          <w:color w:val="000000"/>
          <w:sz w:val="19"/>
        </w:rPr>
        <w:t>5.2. Trách nhiệm, chi phí và thời điểm chuyển giao rủi ro được xác định theo Incoterm áp dụng và các thỏa thuận cụ thể tại Phụ lục Đặt hàng.</w:t>
        <w:br/>
      </w:r>
      <w:r>
        <w:rPr>
          <w:rFonts w:ascii="Times New Roman" w:hAnsi="Times New Roman"/>
          <w:i/>
          <w:color w:val="000000"/>
          <w:sz w:val="18"/>
        </w:rPr>
        <w:t>5.2. Responsibilities, freight costs, and the exact point of transfer of risk shall be determined by the applicable Incoterm and the specific terms of the relevant Order Appendix.</w:t>
      </w:r>
    </w:p>
    <w:p>
      <w:pPr>
        <w:spacing w:before="20" w:after="80" w:line="276" w:lineRule="auto"/>
      </w:pPr>
      <w:r>
        <w:rPr>
          <w:rFonts w:ascii="Times New Roman" w:hAnsi="Times New Roman"/>
          <w:color w:val="000000"/>
          <w:sz w:val="19"/>
        </w:rPr>
        <w:t>5.3. Đối với đơn hàng FCA tại Cửa khẩu Quốc tế Lao Bảo, Quảng Trị, Việt Nam (hoặc cửa khẩu khác): Bên A chịu trách nhiệm đưa hàng đến khu vực giao nhận/bãi sang tải chỉ định phía Việt Nam và hoàn thành thủ tục hải quan xuất khẩu; chi phí sang tải và các rủi ro sau điểm chuyển giao thuộc Bên B theo thỏa thuận.</w:t>
        <w:br/>
      </w:r>
      <w:r>
        <w:rPr>
          <w:rFonts w:ascii="Times New Roman" w:hAnsi="Times New Roman"/>
          <w:i/>
          <w:color w:val="000000"/>
          <w:sz w:val="18"/>
        </w:rPr>
        <w:t>5.3. For orders executed under FCA terms at Lao Bao International Border Checkpoint, Quang Tri, Vietnam (or other border gates): Party A is responsible for transporting the goods to the designated border yard on the Vietnam side and completing Vietnamese export customs procedures; transshipment labor/equipment costs and risks after the handover point shall be borne by Party B as agreed.</w:t>
      </w:r>
    </w:p>
    <w:p>
      <w:pPr>
        <w:spacing w:before="20" w:after="80" w:line="276" w:lineRule="auto"/>
      </w:pPr>
      <w:r>
        <w:rPr>
          <w:rFonts w:ascii="Times New Roman" w:hAnsi="Times New Roman"/>
          <w:color w:val="000000"/>
          <w:sz w:val="19"/>
        </w:rPr>
        <w:t>5.4. Bảo lưu quyền sở hữu: Bên A bảo lưu toàn bộ quyền sở hữu hợp pháp đối với hàng hóa cho đến khi Bên B hoàn tất thanh toán 100% tiền hàng và số tiền đã được ghi Có vào tài khoản ngân hàng của Bên A.</w:t>
        <w:br/>
      </w:r>
      <w:r>
        <w:rPr>
          <w:rFonts w:ascii="Times New Roman" w:hAnsi="Times New Roman"/>
          <w:i/>
          <w:color w:val="000000"/>
          <w:sz w:val="18"/>
        </w:rPr>
        <w:t>5.4. Retention of Title: Party A retains full legal ownership and title to all goods until Party B has completed full payment and funds have been credited in cleared funds to Party A's designated bank account.</w:t>
      </w:r>
    </w:p>
    <w:p>
      <w:pPr>
        <w:keepNext/>
        <w:spacing w:before="160" w:after="40"/>
      </w:pPr>
      <w:r>
        <w:rPr>
          <w:rFonts w:ascii="Times New Roman" w:hAnsi="Times New Roman"/>
          <w:b/>
          <w:color w:val="000000"/>
          <w:sz w:val="20"/>
        </w:rPr>
        <w:t>ĐIỀU 6 / ARTICLE 6: THANH TOÁN VÀ TÀI KHOẢN NGÂN HÀNG / PAYMENT TERMS AND BANK ACCOUNTS</w:t>
      </w:r>
    </w:p>
    <w:p>
      <w:pPr>
        <w:spacing w:before="20" w:after="80" w:line="276" w:lineRule="auto"/>
      </w:pPr>
      <w:r>
        <w:rPr>
          <w:rFonts w:ascii="Times New Roman" w:hAnsi="Times New Roman"/>
          <w:color w:val="000000"/>
          <w:sz w:val="19"/>
        </w:rPr>
        <w:t>6.1. Phương thức thanh toán mặc định là chuyển khoản T/T quốc tế. Tỷ lệ và thời hạn thanh toán của từng đơn hàng được quy định trong Phụ lục Đặt hàng (thông thường: 30-40% tạm ứng sau khi ký PO, và 60-70% trước khi xuất hàng/bàn giao).</w:t>
        <w:br/>
      </w:r>
      <w:r>
        <w:rPr>
          <w:rFonts w:ascii="Times New Roman" w:hAnsi="Times New Roman"/>
          <w:i/>
          <w:color w:val="000000"/>
          <w:sz w:val="18"/>
        </w:rPr>
        <w:t>6.1. The default payment method is international Telegraphic Transfer (T/T). The payment percentage and due dates for each order shall be specified in the relevant Order Appendix (typically: 30-40% advance deposit upon PO execution, and balance 60-70% prior to dispatch/handover).</w:t>
      </w:r>
    </w:p>
    <w:p>
      <w:pPr>
        <w:spacing w:before="20" w:after="80" w:line="276" w:lineRule="auto"/>
      </w:pPr>
      <w:r>
        <w:rPr>
          <w:rFonts w:ascii="Times New Roman" w:hAnsi="Times New Roman"/>
          <w:color w:val="000000"/>
          <w:sz w:val="19"/>
        </w:rPr>
        <w:t>6.2. Trừ khi Phụ lục Đặt hàng quy định khác, thanh toán phải được thực hiện vào đúng tài khoản ngân hàng đứng tên Bên A nêu trong Hợp đồng: Số TK: 9489773866038 | MB Bank — Chi nhánh Phùng Hưng, Hà Nội | SWIFT: MSCBVNVX.</w:t>
        <w:br/>
      </w:r>
      <w:r>
        <w:rPr>
          <w:rFonts w:ascii="Times New Roman" w:hAnsi="Times New Roman"/>
          <w:i/>
          <w:color w:val="000000"/>
          <w:sz w:val="18"/>
        </w:rPr>
        <w:t>6.2. Unless otherwise specified in an Order Appendix, payment shall be made only to the designated bank account in Party A's name stated in this Agreement: Account No.: 9489773866038 | MB Bank — Phung Hung Branch, Hanoi | SWIFT: MSCBVNVX.</w:t>
      </w:r>
    </w:p>
    <w:p>
      <w:pPr>
        <w:spacing w:before="20" w:after="80" w:line="276" w:lineRule="auto"/>
      </w:pPr>
      <w:r>
        <w:rPr>
          <w:rFonts w:ascii="Times New Roman" w:hAnsi="Times New Roman"/>
          <w:color w:val="000000"/>
          <w:sz w:val="19"/>
        </w:rPr>
        <w:t>6.3. Phí ngân hàng bên ngoài Việt Nam và phí ngân hàng trung gian liên quan đến khoản thanh toán của Bên B do Bên B chịu theo điều kiện OUR, trừ khi có thỏa thuận khác.</w:t>
        <w:br/>
      </w:r>
      <w:r>
        <w:rPr>
          <w:rFonts w:ascii="Times New Roman" w:hAnsi="Times New Roman"/>
          <w:i/>
          <w:color w:val="000000"/>
          <w:sz w:val="18"/>
        </w:rPr>
        <w:t>6.3. Overseas bank charges and intermediary bank charges relating to Party B's payment shall be borne exclusively by Party B on an OUR basis unless otherwise agreed.</w:t>
      </w:r>
    </w:p>
    <w:p>
      <w:pPr>
        <w:spacing w:before="20" w:after="80" w:line="276" w:lineRule="auto"/>
      </w:pPr>
      <w:r>
        <w:rPr>
          <w:rFonts w:ascii="Times New Roman" w:hAnsi="Times New Roman"/>
          <w:color w:val="000000"/>
          <w:sz w:val="19"/>
        </w:rPr>
        <w:t>6.4. Thay đổi thông tin tài khoản ngân hàng chỉ có hiệu lực khi được thông báo bằng văn bản chính thức và được xác nhận theo cơ chế xác minh hai kênh do hai Bên thống nhất; email đơn phương không thể tự động thay đổi tài khoản nhận tiền.</w:t>
        <w:br/>
      </w:r>
      <w:r>
        <w:rPr>
          <w:rFonts w:ascii="Times New Roman" w:hAnsi="Times New Roman"/>
          <w:i/>
          <w:color w:val="000000"/>
          <w:sz w:val="18"/>
        </w:rPr>
        <w:t>6.4. A change of bank account information shall be effective only after written formal notice and mutual verification through the dual-channel mechanism agreed by the Parties; a unilateral email shall not automatically change the receiving account.</w:t>
      </w:r>
    </w:p>
    <w:p>
      <w:pPr>
        <w:keepNext/>
        <w:spacing w:before="160" w:after="40"/>
      </w:pPr>
      <w:r>
        <w:rPr>
          <w:rFonts w:ascii="Times New Roman" w:hAnsi="Times New Roman"/>
          <w:b/>
          <w:color w:val="000000"/>
          <w:sz w:val="20"/>
        </w:rPr>
        <w:t>ĐIỀU 7 / ARTICLE 7: THUẾ, HẢI QUAN VÀ BỘ CHỨNG TỪ XUẤT NHẬP KHẨU / TAXES, CUSTOMS AND EXPORT/IMPORT DOCUMENTS</w:t>
      </w:r>
    </w:p>
    <w:p>
      <w:pPr>
        <w:spacing w:before="20" w:after="80" w:line="276" w:lineRule="auto"/>
      </w:pPr>
      <w:r>
        <w:rPr>
          <w:rFonts w:ascii="Times New Roman" w:hAnsi="Times New Roman"/>
          <w:color w:val="000000"/>
          <w:sz w:val="19"/>
        </w:rPr>
        <w:t>7.1. Thuế GTGT và các loại thuế, phí tại Việt Nam được áp dụng theo pháp luật Việt Nam tại thời điểm phát sinh giao dịch. Trường hợp hàng hóa đáp ứng điều kiện áp dụng thuế suất GTGT 0%, Bên A lập hóa đơn GTGT điện tử và chứng từ theo quy định pháp luật.</w:t>
        <w:br/>
      </w:r>
      <w:r>
        <w:rPr>
          <w:rFonts w:ascii="Times New Roman" w:hAnsi="Times New Roman"/>
          <w:i/>
          <w:color w:val="000000"/>
          <w:sz w:val="18"/>
        </w:rPr>
        <w:t>7.1. VAT and other domestic taxes/charges in Vietnam shall be applied in accordance with Vietnamese law in force at the time of the transaction. Where the goods qualify for a 0% VAT export rate, Party A shall issue the relevant invoice and supporting documentation in compliance with tax regulations.</w:t>
      </w:r>
    </w:p>
    <w:p>
      <w:pPr>
        <w:spacing w:before="20" w:after="80" w:line="276" w:lineRule="auto"/>
      </w:pPr>
      <w:r>
        <w:rPr>
          <w:rFonts w:ascii="Times New Roman" w:hAnsi="Times New Roman"/>
          <w:color w:val="000000"/>
          <w:sz w:val="19"/>
        </w:rPr>
        <w:t>7.2. Thuế nhập khẩu, thuế nội địa, phí và thủ tục hải quan tại nước quá cảnh và nước nhập khẩu do Bên B chịu, trừ khi Phụ lục Đặt hàng quy định khác.</w:t>
        <w:br/>
      </w:r>
      <w:r>
        <w:rPr>
          <w:rFonts w:ascii="Times New Roman" w:hAnsi="Times New Roman"/>
          <w:i/>
          <w:color w:val="000000"/>
          <w:sz w:val="18"/>
        </w:rPr>
        <w:t>7.2. Import duties, domestic taxes, customs clearance charges, and formalities in transit and destination countries shall be borne exclusively by Party B unless otherwise specified in an Order Appendix.</w:t>
      </w:r>
    </w:p>
    <w:p>
      <w:pPr>
        <w:spacing w:before="20" w:after="80" w:line="276" w:lineRule="auto"/>
      </w:pPr>
      <w:r>
        <w:rPr>
          <w:rFonts w:ascii="Times New Roman" w:hAnsi="Times New Roman"/>
          <w:color w:val="000000"/>
          <w:sz w:val="19"/>
        </w:rPr>
        <w:t>7.3. Bộ chứng từ của từng đơn hàng được xác định trong Phụ lục Đặt hàng và có thể bao gồm: Commercial Invoice, Packing List, Tờ khai hải quan xuất khẩu B11 đã thông quan, C/O Mẫu D ATIGA, Biên bản giao nhận và các chứng từ kiểm nghiệm chất lượng theo quy định.</w:t>
        <w:br/>
      </w:r>
      <w:r>
        <w:rPr>
          <w:rFonts w:ascii="Times New Roman" w:hAnsi="Times New Roman"/>
          <w:i/>
          <w:color w:val="000000"/>
          <w:sz w:val="18"/>
        </w:rPr>
        <w:t>7.3. The shipping document set for each order shall be specified in the Order Appendix and may include: Commercial Invoice, Packing List, Cleared Export Customs Declaration Form B11, Certificate of Origin (C/O Form D ATIGA), Handover Minutes, and quality/health certificates where legally required.</w:t>
      </w:r>
    </w:p>
    <w:p>
      <w:pPr>
        <w:spacing w:before="20" w:after="80" w:line="276" w:lineRule="auto"/>
      </w:pPr>
      <w:r>
        <w:rPr>
          <w:rFonts w:ascii="Times New Roman" w:hAnsi="Times New Roman"/>
          <w:color w:val="000000"/>
          <w:sz w:val="19"/>
        </w:rPr>
        <w:t>7.4. Các Bên có trách nhiệm phối hợp cung cấp chứng từ hợp lý cần thiết cho việc kiểm tra thuế, hải quan và chứng minh giao dịch xuất khẩu thực tế. Thời hạn lưu trữ chứng từ thực hiện theo pháp luật áp dụng.</w:t>
        <w:br/>
      </w:r>
      <w:r>
        <w:rPr>
          <w:rFonts w:ascii="Times New Roman" w:hAnsi="Times New Roman"/>
          <w:i/>
          <w:color w:val="000000"/>
          <w:sz w:val="18"/>
        </w:rPr>
        <w:t>7.4. The Parties shall reasonably cooperate in providing documents required for tax and customs inspection to evidence the genuine export transaction. Document retention shall strictly comply with applicable law.</w:t>
      </w:r>
    </w:p>
    <w:p>
      <w:pPr>
        <w:keepNext/>
        <w:spacing w:before="160" w:after="40"/>
      </w:pPr>
      <w:r>
        <w:rPr>
          <w:rFonts w:ascii="Times New Roman" w:hAnsi="Times New Roman"/>
          <w:b/>
          <w:color w:val="000000"/>
          <w:sz w:val="20"/>
        </w:rPr>
        <w:t>ĐIỀU 8 / ARTICLE 8: BẢO HIỂM HÀNG HÓA / CARGO INSURANCE</w:t>
      </w:r>
    </w:p>
    <w:p>
      <w:pPr>
        <w:spacing w:before="20" w:after="80" w:line="276" w:lineRule="auto"/>
      </w:pPr>
      <w:r>
        <w:rPr>
          <w:rFonts w:ascii="Times New Roman" w:hAnsi="Times New Roman"/>
          <w:color w:val="000000"/>
          <w:sz w:val="19"/>
        </w:rPr>
        <w:t>8.1. Trách nhiệm mua bảo hiểm được xác định theo Incoterm và Phụ lục Đặt hàng. Nếu một Bên có nghĩa vụ mua bảo hiểm thì mức bảo hiểm tối thiểu và phạm vi bảo hiểm sẽ được nêu trong Phụ lục Đặt hàng.</w:t>
        <w:br/>
      </w:r>
      <w:r>
        <w:rPr>
          <w:rFonts w:ascii="Times New Roman" w:hAnsi="Times New Roman"/>
          <w:i/>
          <w:color w:val="000000"/>
          <w:sz w:val="18"/>
        </w:rPr>
        <w:t>8.1. Cargo insurance responsibilities shall be determined by the applicable Incoterm and the relevant Order Appendix. Where a Party is obligated to obtain insurance, the minimum insured value and insurance coverage shall be stated in the Order Appendix.</w:t>
      </w:r>
    </w:p>
    <w:p>
      <w:pPr>
        <w:keepNext/>
        <w:spacing w:before="160" w:after="40"/>
      </w:pPr>
      <w:r>
        <w:rPr>
          <w:rFonts w:ascii="Times New Roman" w:hAnsi="Times New Roman"/>
          <w:b/>
          <w:color w:val="000000"/>
          <w:sz w:val="20"/>
        </w:rPr>
        <w:t>ĐIỀU 9 / ARTICLE 9: KIỂM TRA HÀNG HÓA VÀ KHIẾU NẠI / INSPECTION AND CLAIMS</w:t>
      </w:r>
    </w:p>
    <w:p>
      <w:pPr>
        <w:spacing w:before="20" w:after="80" w:line="276" w:lineRule="auto"/>
      </w:pPr>
      <w:r>
        <w:rPr>
          <w:rFonts w:ascii="Times New Roman" w:hAnsi="Times New Roman"/>
          <w:color w:val="000000"/>
          <w:sz w:val="19"/>
        </w:rPr>
        <w:t>9.1. Bên B hoặc đại diện được ủy quyền có trách nhiệm kiểm tra số lượng và tình trạng bên ngoài của hàng hóa tại thời điểm giao nhận nếu điều kiện giao hàng cho phép.</w:t>
        <w:br/>
      </w:r>
      <w:r>
        <w:rPr>
          <w:rFonts w:ascii="Times New Roman" w:hAnsi="Times New Roman"/>
          <w:i/>
          <w:color w:val="000000"/>
          <w:sz w:val="18"/>
        </w:rPr>
        <w:t>9.1. Party B or its authorized representative shall inspect the quantity and external condition of the goods at handover where the delivery arrangement permits.</w:t>
      </w:r>
    </w:p>
    <w:p>
      <w:pPr>
        <w:spacing w:before="20" w:after="80" w:line="276" w:lineRule="auto"/>
      </w:pPr>
      <w:r>
        <w:rPr>
          <w:rFonts w:ascii="Times New Roman" w:hAnsi="Times New Roman"/>
          <w:color w:val="000000"/>
          <w:sz w:val="19"/>
        </w:rPr>
        <w:t>9.2. Khiếu nại về số lượng và bao bì bên ngoài phải được ghi nhận tại Biên bản giao nhận hoặc thông báo bằng văn bản trong thời hạn quy định tại Phụ lục Đặt hàng.</w:t>
        <w:br/>
      </w:r>
      <w:r>
        <w:rPr>
          <w:rFonts w:ascii="Times New Roman" w:hAnsi="Times New Roman"/>
          <w:i/>
          <w:color w:val="000000"/>
          <w:sz w:val="18"/>
        </w:rPr>
        <w:t>9.2. Claims concerning quantity and external packaging discrepancies shall be recorded immediately in the Handover Minutes or notified in writing within the period specified in the Order Appendix.</w:t>
      </w:r>
    </w:p>
    <w:p>
      <w:pPr>
        <w:spacing w:before="20" w:after="80" w:line="276" w:lineRule="auto"/>
      </w:pPr>
      <w:r>
        <w:rPr>
          <w:rFonts w:ascii="Times New Roman" w:hAnsi="Times New Roman"/>
          <w:color w:val="000000"/>
          <w:sz w:val="19"/>
        </w:rPr>
        <w:t>9.3. Khiếu nại về chất lượng bên trong phải kèm bằng chứng hợp lý, hợp pháp. Biện pháp khắc phục có thể là thay thế phần hàng không phù hợp hoặc hoàn trả giá trị phần hàng không phù hợp, tùy theo thỏa thuận của đơn hàng.</w:t>
        <w:br/>
      </w:r>
      <w:r>
        <w:rPr>
          <w:rFonts w:ascii="Times New Roman" w:hAnsi="Times New Roman"/>
          <w:i/>
          <w:color w:val="000000"/>
          <w:sz w:val="18"/>
        </w:rPr>
        <w:t>9.3. Claims concerning internal manufacturing defects or quality discrepancies shall be supported by reasonable, legitimate evidence. The remedy may be replacement of the non-conforming portion or refund of its value, subject to the agreed terms of the relevant order.</w:t>
      </w:r>
    </w:p>
    <w:p>
      <w:pPr>
        <w:keepNext/>
        <w:spacing w:before="160" w:after="40"/>
      </w:pPr>
      <w:r>
        <w:rPr>
          <w:rFonts w:ascii="Times New Roman" w:hAnsi="Times New Roman"/>
          <w:b/>
          <w:color w:val="000000"/>
          <w:sz w:val="20"/>
        </w:rPr>
        <w:t>ĐIỀU 10 / ARTICLE 10: SỰ KIỆN BẤT KHẢ KHÁNG / FORCE MAJEURE</w:t>
      </w:r>
    </w:p>
    <w:p>
      <w:pPr>
        <w:spacing w:before="20" w:after="80" w:line="276" w:lineRule="auto"/>
      </w:pPr>
      <w:r>
        <w:rPr>
          <w:rFonts w:ascii="Times New Roman" w:hAnsi="Times New Roman"/>
          <w:color w:val="000000"/>
          <w:sz w:val="19"/>
        </w:rPr>
        <w:t>10.1. Không Bên nào chịu trách nhiệm đối với việc chậm hoặc không thực hiện nghĩa vụ do sự kiện bất khả kháng ngoài khả năng kiểm soát hợp lý, bao gồm thiên tai, chiến tranh, xung đột quân sự, dịch bệnh, đình công diện rộng, đóng cửa hoặc hạn chế cửa khẩu, thay đổi chính sách của cơ quan nhà nước và các sự kiện tương tự.</w:t>
        <w:br/>
      </w:r>
      <w:r>
        <w:rPr>
          <w:rFonts w:ascii="Times New Roman" w:hAnsi="Times New Roman"/>
          <w:i/>
          <w:color w:val="000000"/>
          <w:sz w:val="18"/>
        </w:rPr>
        <w:t>10.1. Neither Party shall be held liable for delay or failure to perform its contractual obligations due to a Force Majeure event beyond its reasonable control, including natural disasters, war, military conflict, epidemics, general strikes, closure or restriction of border checkpoints, changes in governmental policy, and similar unavoidable events.</w:t>
      </w:r>
    </w:p>
    <w:p>
      <w:pPr>
        <w:spacing w:before="20" w:after="80" w:line="276" w:lineRule="auto"/>
      </w:pPr>
      <w:r>
        <w:rPr>
          <w:rFonts w:ascii="Times New Roman" w:hAnsi="Times New Roman"/>
          <w:color w:val="000000"/>
          <w:sz w:val="19"/>
        </w:rPr>
        <w:t>10.2. Bên bị ảnh hưởng phải thông báo cho Bên kia bằng văn bản trong thời gian hợp lý và cung cấp tài liệu chứng minh khi có thể.</w:t>
        <w:br/>
      </w:r>
      <w:r>
        <w:rPr>
          <w:rFonts w:ascii="Times New Roman" w:hAnsi="Times New Roman"/>
          <w:i/>
          <w:color w:val="000000"/>
          <w:sz w:val="18"/>
        </w:rPr>
        <w:t>10.2. The affected Party shall notify the other Party in writing within a reasonable time and provide supporting official evidence where available.</w:t>
      </w:r>
    </w:p>
    <w:p>
      <w:pPr>
        <w:keepNext/>
        <w:spacing w:before="160" w:after="40"/>
      </w:pPr>
      <w:r>
        <w:rPr>
          <w:rFonts w:ascii="Times New Roman" w:hAnsi="Times New Roman"/>
          <w:b/>
          <w:color w:val="000000"/>
          <w:sz w:val="20"/>
        </w:rPr>
        <w:t>ĐIỀU 11 / ARTICLE 11: VI PHẠM, PHẠT VÀ GIỚI HẠN TRÁCH NHIỆM / BREACH, PENALTIES AND LIMITATION OF LIABILITY</w:t>
      </w:r>
    </w:p>
    <w:p>
      <w:pPr>
        <w:spacing w:before="20" w:after="80" w:line="276" w:lineRule="auto"/>
      </w:pPr>
      <w:r>
        <w:rPr>
          <w:rFonts w:ascii="Times New Roman" w:hAnsi="Times New Roman"/>
          <w:color w:val="000000"/>
          <w:sz w:val="19"/>
        </w:rPr>
        <w:t>11.1. Mức phạt vi phạm, nếu có, áp dụng theo pháp luật thương mại Việt Nam và được quy định cụ thể trong Phụ lục Đặt hàng hoặc thỏa thuận liên quan, nhưng không vượt quá giới hạn pháp luật bắt buộc.</w:t>
        <w:br/>
      </w:r>
      <w:r>
        <w:rPr>
          <w:rFonts w:ascii="Times New Roman" w:hAnsi="Times New Roman"/>
          <w:i/>
          <w:color w:val="000000"/>
          <w:sz w:val="18"/>
        </w:rPr>
        <w:t>11.1. Any contractual penalty shall be applied in accordance with Vietnamese commercial law and specified in the relevant Order Appendix or agreement, but shall not exceed any mandatory statutory limit.</w:t>
      </w:r>
    </w:p>
    <w:p>
      <w:pPr>
        <w:spacing w:before="20" w:after="80" w:line="276" w:lineRule="auto"/>
      </w:pPr>
      <w:r>
        <w:rPr>
          <w:rFonts w:ascii="Times New Roman" w:hAnsi="Times New Roman"/>
          <w:color w:val="000000"/>
          <w:sz w:val="19"/>
        </w:rPr>
        <w:t>11.2. Bên vi phạm phải bồi thường thiệt hại thực tế, trực tiếp và có chứng cứ trong phạm vi pháp luật cho phép và theo giới hạn trách nhiệm đã thỏa thuận.</w:t>
        <w:br/>
      </w:r>
      <w:r>
        <w:rPr>
          <w:rFonts w:ascii="Times New Roman" w:hAnsi="Times New Roman"/>
          <w:i/>
          <w:color w:val="000000"/>
          <w:sz w:val="18"/>
        </w:rPr>
        <w:t>11.2. The breaching Party shall compensate actual, direct, and evidenced damages to the extent permitted by law and subject to any agreed liability cap.</w:t>
      </w:r>
    </w:p>
    <w:p>
      <w:pPr>
        <w:spacing w:before="20" w:after="80" w:line="276" w:lineRule="auto"/>
      </w:pPr>
      <w:r>
        <w:rPr>
          <w:rFonts w:ascii="Times New Roman" w:hAnsi="Times New Roman"/>
          <w:color w:val="000000"/>
          <w:sz w:val="19"/>
        </w:rPr>
        <w:t>11.3. Trừ khi pháp luật bắt buộc quy định khác hoặc Phụ lục Đặt hàng quy định khác, không Bên nào chịu trách nhiệm về thiệt hại gián tiếp, lợi nhuận kỳ vọng bị mất hoặc cơ hội kinh doanh bị mất.</w:t>
        <w:br/>
      </w:r>
      <w:r>
        <w:rPr>
          <w:rFonts w:ascii="Times New Roman" w:hAnsi="Times New Roman"/>
          <w:i/>
          <w:color w:val="000000"/>
          <w:sz w:val="18"/>
        </w:rPr>
        <w:t>11.3. Unless mandatory law provides otherwise or an Order Appendix provides otherwise, neither Party shall be liable for indirect damages, consequential loss, loss of anticipated profit, or loss of business opportunity.</w:t>
      </w:r>
    </w:p>
    <w:p>
      <w:pPr>
        <w:keepNext/>
        <w:spacing w:before="160" w:after="40"/>
      </w:pPr>
      <w:r>
        <w:rPr>
          <w:rFonts w:ascii="Times New Roman" w:hAnsi="Times New Roman"/>
          <w:b/>
          <w:color w:val="000000"/>
          <w:sz w:val="20"/>
        </w:rPr>
        <w:t>ĐIỀU 12 / ARTICLE 12: LUẬT ÁP DỤNG VÀ GIẢI QUYẾT TRANH CHẤP / GOVERNING LAW AND DISPUTE RESOLUTION</w:t>
      </w:r>
    </w:p>
    <w:p>
      <w:pPr>
        <w:spacing w:before="20" w:after="80" w:line="276" w:lineRule="auto"/>
      </w:pPr>
      <w:r>
        <w:rPr>
          <w:rFonts w:ascii="Times New Roman" w:hAnsi="Times New Roman"/>
          <w:color w:val="000000"/>
          <w:sz w:val="19"/>
        </w:rPr>
        <w:t>12.1. Hợp đồng này và từng Phụ lục Đặt hàng được điều chỉnh bởi pháp luật của nước Cộng hòa Xã hội Chủ nghĩa Việt Nam, trừ khi các Bên có thỏa thuận hợp pháp khác.</w:t>
        <w:br/>
      </w:r>
      <w:r>
        <w:rPr>
          <w:rFonts w:ascii="Times New Roman" w:hAnsi="Times New Roman"/>
          <w:i/>
          <w:color w:val="000000"/>
          <w:sz w:val="18"/>
        </w:rPr>
        <w:t>12.1. This Agreement and each Order Appendix shall be governed by and construed in accordance with the substantive Laws of the Socialist Republic of Vietnam, unless the Parties lawfully agree otherwise.</w:t>
      </w:r>
    </w:p>
    <w:p>
      <w:pPr>
        <w:spacing w:before="20" w:after="80" w:line="276" w:lineRule="auto"/>
      </w:pPr>
      <w:r>
        <w:rPr>
          <w:rFonts w:ascii="Times New Roman" w:hAnsi="Times New Roman"/>
          <w:color w:val="000000"/>
          <w:sz w:val="19"/>
        </w:rPr>
        <w:t>12.2. Tranh chấp trước hết được giải quyết bằng thương lượng thiện chí. Nếu không giải quyết được trong vòng 30 ngày kể từ ngày một Bên thông báo tranh chấp, tranh chấp được đưa ra giải quyết chung thẩm tại Trung tâm Trọng tài Quốc tế Việt Nam (VIAC) tại Hà Nội theo Quy tắc tố tụng của VIAC.</w:t>
        <w:br/>
      </w:r>
      <w:r>
        <w:rPr>
          <w:rFonts w:ascii="Times New Roman" w:hAnsi="Times New Roman"/>
          <w:i/>
          <w:color w:val="000000"/>
          <w:sz w:val="18"/>
        </w:rPr>
        <w:t>12.2. Any dispute shall first be settled through good-faith negotiation. If unresolved within thirty (30) days from the date one Party gives written notice of the dispute, the dispute shall be referred to and finally resolved by the Vietnam International Arbitration Centre (VIAC) in Hanoi under its Arbitration Rules.</w:t>
      </w:r>
    </w:p>
    <w:p>
      <w:pPr>
        <w:spacing w:before="20" w:after="80" w:line="276" w:lineRule="auto"/>
      </w:pPr>
      <w:r>
        <w:rPr>
          <w:rFonts w:ascii="Times New Roman" w:hAnsi="Times New Roman"/>
          <w:color w:val="000000"/>
          <w:sz w:val="19"/>
        </w:rPr>
        <w:t>12.3. Hội đồng trọng tài gồm ba (03) trọng tài viên. Ngôn ngữ trọng tài là tiếng Anh. Phán quyết trọng tài là chung thẩm và ràng buộc các Bên.</w:t>
        <w:br/>
      </w:r>
      <w:r>
        <w:rPr>
          <w:rFonts w:ascii="Times New Roman" w:hAnsi="Times New Roman"/>
          <w:i/>
          <w:color w:val="000000"/>
          <w:sz w:val="18"/>
        </w:rPr>
        <w:t>12.3. The arbitral tribunal shall consist of three (3) arbitrators. The language of arbitration shall be English. The arbitral award shall be final and binding upon both Parties.</w:t>
      </w:r>
    </w:p>
    <w:p>
      <w:pPr>
        <w:keepNext/>
        <w:spacing w:before="160" w:after="40"/>
      </w:pPr>
      <w:r>
        <w:rPr>
          <w:rFonts w:ascii="Times New Roman" w:hAnsi="Times New Roman"/>
          <w:b/>
          <w:color w:val="000000"/>
          <w:sz w:val="20"/>
        </w:rPr>
        <w:t>ĐIỀU 13 / ARTICLE 13: THỜI HẠN, SỬA ĐỔI VÀ CHẤM DỨT / TERM, AMENDMENT AND TERMINATION</w:t>
      </w:r>
    </w:p>
    <w:p>
      <w:pPr>
        <w:spacing w:before="20" w:after="80" w:line="276" w:lineRule="auto"/>
      </w:pPr>
      <w:r>
        <w:rPr>
          <w:rFonts w:ascii="Times New Roman" w:hAnsi="Times New Roman"/>
          <w:color w:val="000000"/>
          <w:sz w:val="19"/>
        </w:rPr>
        <w:t>13.1. Hợp đồng có hiệu lực từ ngày ký và có thời hạn 03 năm, trừ khi chấm dứt sớm theo Hợp đồng. Hợp đồng tự động gia hạn từng 01 năm nếu không Bên nào thông báo chấm dứt bằng văn bản ít nhất 30 ngày trước ngày hết hạn.</w:t>
        <w:br/>
      </w:r>
      <w:r>
        <w:rPr>
          <w:rFonts w:ascii="Times New Roman" w:hAnsi="Times New Roman"/>
          <w:i/>
          <w:color w:val="000000"/>
          <w:sz w:val="18"/>
        </w:rPr>
        <w:t>13.1. This Agreement takes effect on the signing date and remains valid for three (03) years unless earlier terminated. It shall automatically renew for successive one-year periods unless either Party gives written notice of termination at least thirty (30) days before expiry.</w:t>
      </w:r>
    </w:p>
    <w:p>
      <w:pPr>
        <w:spacing w:before="20" w:after="80" w:line="276" w:lineRule="auto"/>
      </w:pPr>
      <w:r>
        <w:rPr>
          <w:rFonts w:ascii="Times New Roman" w:hAnsi="Times New Roman"/>
          <w:color w:val="000000"/>
          <w:sz w:val="19"/>
        </w:rPr>
        <w:t>13.2. Việc chấm dứt Hợp đồng khung không làm mất hiệu lực của các Phụ lục Đặt hàng đã được ký, trừ khi các Bên có thỏa thuận khác.</w:t>
        <w:br/>
      </w:r>
      <w:r>
        <w:rPr>
          <w:rFonts w:ascii="Times New Roman" w:hAnsi="Times New Roman"/>
          <w:i/>
          <w:color w:val="000000"/>
          <w:sz w:val="18"/>
        </w:rPr>
        <w:t>13.2. Termination of this Master Framework Agreement shall not affect the validity of signed Order Appendices, unless otherwise agreed by the Parties in writing.</w:t>
      </w:r>
    </w:p>
    <w:p>
      <w:pPr>
        <w:spacing w:before="20" w:after="80" w:line="276" w:lineRule="auto"/>
      </w:pPr>
      <w:r>
        <w:rPr>
          <w:rFonts w:ascii="Times New Roman" w:hAnsi="Times New Roman"/>
          <w:color w:val="000000"/>
          <w:sz w:val="19"/>
        </w:rPr>
        <w:t>13.3. Mọi sửa đổi, bổ sung Hợp đồng phải được lập thành văn bản và có chữ ký hợp lệ của đại diện hai Bên.</w:t>
        <w:br/>
      </w:r>
      <w:r>
        <w:rPr>
          <w:rFonts w:ascii="Times New Roman" w:hAnsi="Times New Roman"/>
          <w:i/>
          <w:color w:val="000000"/>
          <w:sz w:val="18"/>
        </w:rPr>
        <w:t>13.3. Any amendment or supplement to this Agreement must be made in writing and duly signed by authorized representatives of both Parties.</w:t>
      </w:r>
    </w:p>
    <w:p>
      <w:pPr>
        <w:spacing w:before="20" w:after="80" w:line="276" w:lineRule="auto"/>
      </w:pPr>
      <w:r>
        <w:rPr>
          <w:rFonts w:ascii="Times New Roman" w:hAnsi="Times New Roman"/>
          <w:color w:val="000000"/>
          <w:sz w:val="19"/>
        </w:rPr>
        <w:t>13.4. Không Bên nào được chuyển nhượng quyền và nghĩa vụ theo Hợp đồng cho bên thứ ba nếu không có sự đồng ý trước bằng văn bản của Bên kia, trừ trường hợp pháp luật bắt buộc cho phép khác.</w:t>
        <w:br/>
      </w:r>
      <w:r>
        <w:rPr>
          <w:rFonts w:ascii="Times New Roman" w:hAnsi="Times New Roman"/>
          <w:i/>
          <w:color w:val="000000"/>
          <w:sz w:val="18"/>
        </w:rPr>
        <w:t>13.4. Neither Party may assign its rights or obligations under this Agreement to a third party without the other Party's prior written consent, except where permitted by mandatory law.</w:t>
      </w:r>
    </w:p>
    <w:p>
      <w:pPr>
        <w:keepNext/>
        <w:spacing w:before="160" w:after="40"/>
      </w:pPr>
      <w:r>
        <w:rPr>
          <w:rFonts w:ascii="Times New Roman" w:hAnsi="Times New Roman"/>
          <w:b/>
          <w:color w:val="000000"/>
          <w:sz w:val="20"/>
        </w:rPr>
        <w:t>ĐIỀU 14 / ARTICLE 14: THÔNG BÁO VÀ GIAO DỊCH ĐIỆN TỬ / NOTICES AND ELECTRONIC TRANSACTIONS</w:t>
      </w:r>
    </w:p>
    <w:p>
      <w:pPr>
        <w:spacing w:before="20" w:after="80" w:line="276" w:lineRule="auto"/>
      </w:pPr>
      <w:r>
        <w:rPr>
          <w:rFonts w:ascii="Times New Roman" w:hAnsi="Times New Roman"/>
          <w:color w:val="000000"/>
          <w:sz w:val="19"/>
        </w:rPr>
        <w:t>14.1. Thông báo theo Hợp đồng được gửi bằng văn bản tới email đã đăng ký của các Bên hoặc địa chỉ khác được thông báo hợp lệ.</w:t>
        <w:br/>
      </w:r>
      <w:r>
        <w:rPr>
          <w:rFonts w:ascii="Times New Roman" w:hAnsi="Times New Roman"/>
          <w:i/>
          <w:color w:val="000000"/>
          <w:sz w:val="18"/>
        </w:rPr>
        <w:t>14.1. Notices under this Agreement shall be sent in writing to the Parties' registered email addresses or other duly notified physical addresses.</w:t>
      </w:r>
    </w:p>
    <w:p>
      <w:pPr>
        <w:spacing w:before="20" w:after="80" w:line="276" w:lineRule="auto"/>
      </w:pPr>
      <w:r>
        <w:rPr>
          <w:rFonts w:ascii="Times New Roman" w:hAnsi="Times New Roman"/>
          <w:color w:val="000000"/>
          <w:sz w:val="19"/>
        </w:rPr>
        <w:t>14.2. Bản scan, chữ ký điện tử hoặc bản điện tử có thể được sử dụng nếu phù hợp pháp luật áp dụng và được hai Bên chấp nhận.</w:t>
        <w:br/>
      </w:r>
      <w:r>
        <w:rPr>
          <w:rFonts w:ascii="Times New Roman" w:hAnsi="Times New Roman"/>
          <w:i/>
          <w:color w:val="000000"/>
          <w:sz w:val="18"/>
        </w:rPr>
        <w:t>14.2. Scanned copies, electronic signatures, and electronic documents may be utilized where permitted by applicable law and mutually accepted by both Parties.</w:t>
      </w:r>
    </w:p>
    <w:p>
      <w:pPr>
        <w:keepNext/>
        <w:spacing w:before="160" w:after="40"/>
      </w:pPr>
      <w:r>
        <w:rPr>
          <w:rFonts w:ascii="Times New Roman" w:hAnsi="Times New Roman"/>
          <w:b/>
          <w:color w:val="000000"/>
          <w:sz w:val="20"/>
        </w:rPr>
        <w:t>ĐIỀU 15 / ARTICLE 15: NGUYÊN TẮC GIAO DỊCH &amp; BẢO VỆ CHUỖI CUNG ỨNG (CHỐNG NHẢY CÓC) / NATURE OF TRANSACTIONS &amp; SUPPLY CHAIN INTEGRITY (ANTI-CIRCUMVENTION)</w:t>
      </w:r>
    </w:p>
    <w:p>
      <w:pPr>
        <w:spacing w:before="20" w:after="80" w:line="276" w:lineRule="auto"/>
      </w:pPr>
      <w:r>
        <w:rPr>
          <w:rFonts w:ascii="Times New Roman" w:hAnsi="Times New Roman"/>
          <w:color w:val="000000"/>
          <w:sz w:val="19"/>
        </w:rPr>
        <w:t>15.1. Mỗi giao dịch theo Hợp đồng là giao dịch mua bán hàng hóa. Bên A bán hàng hóa của mình hoặc hàng hóa mà Bên A có quyền bán hợp pháp; đây không phải là giao dịch đại lý, môi giới, gia công hoặc ủy thác xuất khẩu, trừ khi một Phụ lục riêng quy định rõ.</w:t>
        <w:br/>
      </w:r>
      <w:r>
        <w:rPr>
          <w:rFonts w:ascii="Times New Roman" w:hAnsi="Times New Roman"/>
          <w:i/>
          <w:color w:val="000000"/>
          <w:sz w:val="18"/>
        </w:rPr>
        <w:t>15.1. Each transaction under this Agreement is a commercial sale of goods. Party A sells goods owned or lawfully available for sale by Party A; it is not an agency, brokerage, processing, or entrusted-export arrangement unless expressly stated in a separate written agreement.</w:t>
      </w:r>
    </w:p>
    <w:p>
      <w:pPr>
        <w:spacing w:before="20" w:after="80" w:line="276" w:lineRule="auto"/>
      </w:pPr>
      <w:r>
        <w:rPr>
          <w:rFonts w:ascii="Times New Roman" w:hAnsi="Times New Roman"/>
          <w:color w:val="000000"/>
          <w:sz w:val="19"/>
        </w:rPr>
        <w:t>15.2. Cam kết chống nhảy cóc thương mại: Nhà cung cấp nội địa hoặc nhà máy sản xuất của Bên A tại Việt Nam không phải là một bên của giao dịch giữa Bên A và Bên B. Bên B không có quan hệ hợp đồng trực tiếp với nhà cung cấp đó và Bên B cam kết không tiếp cận, không nhảy cóc mua hàng trực tiếp từ các đối tác sản xuất của Bên A.</w:t>
        <w:br/>
      </w:r>
      <w:r>
        <w:rPr>
          <w:rFonts w:ascii="Times New Roman" w:hAnsi="Times New Roman"/>
          <w:i/>
          <w:color w:val="000000"/>
          <w:sz w:val="18"/>
        </w:rPr>
        <w:t>15.2. Anti-Circumvention Covenant: Any domestic supplier or manufacturing factory of Party A in Vietnam is not a party to the transaction between Party A and Party B. Party B has no direct contractual relationship with such suppliers, and Party B covenants not to bypass, solicit, or purchase directly from Party A's manufacturers.</w:t>
      </w:r>
    </w:p>
    <w:p>
      <w:pPr>
        <w:keepNext/>
        <w:spacing w:before="160" w:after="40"/>
      </w:pPr>
      <w:r>
        <w:rPr>
          <w:rFonts w:ascii="Times New Roman" w:hAnsi="Times New Roman"/>
          <w:b/>
          <w:color w:val="000000"/>
          <w:sz w:val="20"/>
        </w:rPr>
        <w:t>ĐIỀU 16 / ARTICLE 16: NGÔN NGỮ VÀ THỨ TỰ ƯU TIÊN ÁP DỤNG / LANGUAGE AND ORDER OF PRECEDENCE</w:t>
      </w:r>
    </w:p>
    <w:p>
      <w:pPr>
        <w:spacing w:before="20" w:after="80" w:line="276" w:lineRule="auto"/>
      </w:pPr>
      <w:r>
        <w:rPr>
          <w:rFonts w:ascii="Times New Roman" w:hAnsi="Times New Roman"/>
          <w:color w:val="000000"/>
          <w:sz w:val="19"/>
        </w:rPr>
        <w:t>16.1. Hợp đồng này và các Phụ lục Đặt hàng được lập bằng tiếng Việt và tiếng Anh.</w:t>
        <w:br/>
      </w:r>
      <w:r>
        <w:rPr>
          <w:rFonts w:ascii="Times New Roman" w:hAnsi="Times New Roman"/>
          <w:i/>
          <w:color w:val="000000"/>
          <w:sz w:val="18"/>
        </w:rPr>
        <w:t>16.1. This Agreement and the Order Appendices shall be executed in both Vietnamese and English languages.</w:t>
      </w:r>
    </w:p>
    <w:p>
      <w:pPr>
        <w:spacing w:before="20" w:after="80" w:line="276" w:lineRule="auto"/>
      </w:pPr>
      <w:r>
        <w:rPr>
          <w:rFonts w:ascii="Times New Roman" w:hAnsi="Times New Roman"/>
          <w:color w:val="000000"/>
          <w:sz w:val="19"/>
        </w:rPr>
        <w:t>16.2. Hai phiên bản có giá trị tham chiếu như nhau. Trong trường hợp có khác biệt về diễn giải liên quan đến giao dịch quốc tế hoặc tố tụng trọng tài, phiên bản tiếng Anh được ưu tiên áp dụng, trừ khi Phụ lục Đặt hàng quy định khác.</w:t>
        <w:br/>
      </w:r>
      <w:r>
        <w:rPr>
          <w:rFonts w:ascii="Times New Roman" w:hAnsi="Times New Roman"/>
          <w:i/>
          <w:color w:val="000000"/>
          <w:sz w:val="18"/>
        </w:rPr>
        <w:t>16.2. Both versions have equal reference value. In case of discrepancy in interpretation relating to the international transaction or arbitration proceedings, the English version shall prevail unless otherwise specified in an Order Appendix.</w:t>
      </w:r>
    </w:p>
    <w:p>
      <w:pPr>
        <w:spacing w:before="20" w:after="80" w:line="276" w:lineRule="auto"/>
      </w:pPr>
      <w:r>
        <w:rPr>
          <w:rFonts w:ascii="Times New Roman" w:hAnsi="Times New Roman"/>
          <w:color w:val="000000"/>
          <w:sz w:val="19"/>
        </w:rPr>
        <w:t>16.3. Thứ tự ưu tiên áp dụng tài liệu: (i) Phụ lục Đặt hàng đối với vấn đề riêng của đơn hàng; (ii) Hợp đồng khung này; và (iii) các chứng từ thương mại khác, trừ khi văn bản đó sửa đổi rõ một điều khoản cụ thể.</w:t>
        <w:br/>
      </w:r>
      <w:r>
        <w:rPr>
          <w:rFonts w:ascii="Times New Roman" w:hAnsi="Times New Roman"/>
          <w:i/>
          <w:color w:val="000000"/>
          <w:sz w:val="18"/>
        </w:rPr>
        <w:t>16.3. Order of Precedence: (i) the Order Appendix for order-specific matters; (ii) this Master Framework Agreement; and (iii) other commercial documents, unless such document expressly amends a specific contractual term.</w:t>
      </w:r>
    </w:p>
    <w:p>
      <w:pPr>
        <w:keepNext/>
        <w:spacing w:before="160" w:after="40"/>
      </w:pPr>
      <w:r>
        <w:rPr>
          <w:rFonts w:ascii="Times New Roman" w:hAnsi="Times New Roman"/>
          <w:b/>
          <w:color w:val="000000"/>
          <w:sz w:val="20"/>
        </w:rPr>
        <w:t>ĐIỀU 17 / ARTICLE 17: ĐIỀU KHOẢN CHUNG / GENERAL PROVISIONS</w:t>
      </w:r>
    </w:p>
    <w:p>
      <w:pPr>
        <w:spacing w:before="20" w:after="80" w:line="276" w:lineRule="auto"/>
      </w:pPr>
      <w:r>
        <w:rPr>
          <w:rFonts w:ascii="Times New Roman" w:hAnsi="Times New Roman"/>
          <w:color w:val="000000"/>
          <w:sz w:val="19"/>
        </w:rPr>
        <w:t>17.1. Tính độc lập của điều khoản: Nếu một điều khoản bị xác định là vô hiệu hoặc không thể thi hành, các điều khoản còn lại vẫn có hiệu lực.</w:t>
        <w:br/>
      </w:r>
      <w:r>
        <w:rPr>
          <w:rFonts w:ascii="Times New Roman" w:hAnsi="Times New Roman"/>
          <w:i/>
          <w:color w:val="000000"/>
          <w:sz w:val="18"/>
        </w:rPr>
        <w:t>17.1. Severability: If any provision is held invalid or unenforceable, the remaining provisions shall remain in full force and effect.</w:t>
      </w:r>
    </w:p>
    <w:p>
      <w:pPr>
        <w:spacing w:before="20" w:after="80" w:line="276" w:lineRule="auto"/>
      </w:pPr>
      <w:r>
        <w:rPr>
          <w:rFonts w:ascii="Times New Roman" w:hAnsi="Times New Roman"/>
          <w:color w:val="000000"/>
          <w:sz w:val="19"/>
        </w:rPr>
        <w:t>17.2. Số lượng bản ký: Hợp đồng có thể được ký thành nhiều bản có giá trị như nhau; bản điện tử hoặc bản scan được chấp nhận trong phạm vi pháp luật cho phép.</w:t>
        <w:br/>
      </w:r>
      <w:r>
        <w:rPr>
          <w:rFonts w:ascii="Times New Roman" w:hAnsi="Times New Roman"/>
          <w:i/>
          <w:color w:val="000000"/>
          <w:sz w:val="18"/>
        </w:rPr>
        <w:t>17.2. Counterparts: This Agreement may be executed in counterparts of equal legal validity; electronic or scanned copies shall be accepted to the extent permitted by law.</w:t>
      </w:r>
    </w:p>
    <w:p>
      <w:pPr>
        <w:spacing w:before="20" w:after="80" w:line="276" w:lineRule="auto"/>
      </w:pPr>
      <w:r>
        <w:rPr>
          <w:rFonts w:ascii="Times New Roman" w:hAnsi="Times New Roman"/>
          <w:color w:val="000000"/>
          <w:sz w:val="19"/>
        </w:rPr>
        <w:t>17.3. Tính chất khung: Hợp đồng này chỉ thiết lập khung hợp tác và không tự tạo ra nghĩa vụ mua bán cụ thể nếu không có Phụ lục Đặt hàng tương ứng.</w:t>
        <w:br/>
      </w:r>
      <w:r>
        <w:rPr>
          <w:rFonts w:ascii="Times New Roman" w:hAnsi="Times New Roman"/>
          <w:i/>
          <w:color w:val="000000"/>
          <w:sz w:val="18"/>
        </w:rPr>
        <w:t>17.3. Framework Character: This Agreement establishes a cooperation framework and does not by itself create a specific purchase or delivery obligation without a corresponding Order Appendix.</w:t>
      </w:r>
    </w:p>
    <w:p>
      <w:pPr>
        <w:keepNext/>
        <w:spacing w:before="240" w:after="80"/>
      </w:pPr>
      <w:r>
        <w:rPr>
          <w:rFonts w:ascii="Times New Roman" w:hAnsi="Times New Roman"/>
          <w:b/>
          <w:color w:val="000000"/>
          <w:sz w:val="21"/>
        </w:rPr>
        <w:t>ĐẠI DIỆN KÝ KẾT / SIGNATURES</w:t>
      </w:r>
    </w:p>
    <w:tbl>
      <w:tblPr>
        <w:tblW w:type="auto" w:w="0"/>
        <w:jc w:val="center"/>
        <w:tblLook w:firstColumn="1" w:firstRow="1" w:lastColumn="0" w:lastRow="0" w:noHBand="0" w:noVBand="1" w:val="04A0"/>
      </w:tblPr>
      <w:tblGrid>
        <w:gridCol w:w="4896"/>
        <w:gridCol w:w="4896"/>
      </w:tblGrid>
      <w:tr>
        <w:tc>
          <w:tcPr>
            <w:tcW w:type="dxa" w:w="4896"/>
          </w:tcPr>
          <w:p>
            <w:pPr>
              <w:jc w:val="center"/>
            </w:pPr>
            <w:r>
              <w:rPr>
                <w:rFonts w:ascii="Times New Roman" w:hAnsi="Times New Roman"/>
                <w:b/>
                <w:color w:val="000000"/>
                <w:sz w:val="19"/>
              </w:rPr>
              <w:t>ĐẠI DIỆN BÊN A — BÊN BÁN</w:t>
              <w:br/>
              <w:t>FOR AND ON BEHALF OF PARTY A</w:t>
              <w:br/>
              <w:t>GLOBAL SOLUTION SERVICE CO., LTD</w:t>
            </w:r>
          </w:p>
        </w:tc>
        <w:tc>
          <w:tcPr>
            <w:tcW w:type="dxa" w:w="4896"/>
          </w:tcPr>
          <w:p>
            <w:pPr>
              <w:jc w:val="center"/>
            </w:pPr>
            <w:r>
              <w:rPr>
                <w:rFonts w:ascii="Times New Roman" w:hAnsi="Times New Roman"/>
                <w:b/>
                <w:color w:val="000000"/>
                <w:sz w:val="19"/>
              </w:rPr>
              <w:t>ĐẠI DIỆN BÊN B — BÊN MUA</w:t>
              <w:br/>
              <w:t>FOR AND ON BEHALF OF PARTY B</w:t>
              <w:br/>
              <w:t>[BUYER_COMPANY_NAME]</w:t>
            </w:r>
          </w:p>
        </w:tc>
      </w:tr>
      <w:tr>
        <w:tc>
          <w:tcPr>
            <w:tcW w:type="dxa" w:w="4896"/>
          </w:tcPr>
          <w:p>
            <w:pPr>
              <w:jc w:val="center"/>
            </w:pPr>
            <w:r>
              <w:rPr>
                <w:rFonts w:ascii="Times New Roman" w:hAnsi="Times New Roman"/>
                <w:color w:val="000000"/>
                <w:sz w:val="18"/>
              </w:rPr>
              <w:br/>
              <w:br/>
              <w:br/>
              <w:br/>
              <w:t>_____________________________________</w:t>
              <w:br/>
              <w:t>NGUYỄN VĂN TRUNG</w:t>
              <w:br/>
              <w:t>Giám đốc / Director</w:t>
              <w:br/>
              <w:t>(Ký tên &amp; Đóng dấu / Signed &amp; Sealed)</w:t>
            </w:r>
          </w:p>
        </w:tc>
        <w:tc>
          <w:tcPr>
            <w:tcW w:type="dxa" w:w="4896"/>
          </w:tcPr>
          <w:p>
            <w:pPr>
              <w:jc w:val="center"/>
            </w:pPr>
            <w:r>
              <w:rPr>
                <w:rFonts w:ascii="Times New Roman" w:hAnsi="Times New Roman"/>
                <w:color w:val="000000"/>
                <w:sz w:val="18"/>
              </w:rPr>
              <w:br/>
              <w:br/>
              <w:br/>
              <w:br/>
              <w:t>_____________________________________</w:t>
              <w:br/>
              <w:t>[BUYER_REPRESENTATIVE_NAME]</w:t>
              <w:br/>
              <w:t>[BUYER_POSITION]</w:t>
              <w:br/>
              <w:t>(Ký tên &amp; Đóng dấu / Signed &amp; Sealed)</w:t>
            </w:r>
          </w:p>
        </w:tc>
      </w:tr>
    </w:tbl>
    <w:sectPr w:rsidR="00FC693F" w:rsidRPr="0006063C" w:rsidSect="00034616">
      <w:headerReference w:type="default" r:id="rId9"/>
      <w:footerReference w:type="default" r:id="rId10"/>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color w:val="000000"/>
        <w:sz w:val="17"/>
      </w:rPr>
      <w:t xml:space="preserve">GLOBAL SOLUTION SERVICE CO., LTD (TAX: 0109469047)                         Page / Trang </w:t>
    </w:r>
    <w:r>
      <w:rPr>
        <w:rFonts w:ascii="Times New Roman" w:hAnsi="Times New Roman"/>
        <w:color w:val="000000"/>
        <w:sz w:val="17"/>
      </w:rPr>
      <w:fldChar w:fldCharType="begin"/>
      <w:instrText xml:space="preserve"> PAGE </w:instrText>
      <w:fldChar w:fldCharType="separate"/>
      <w:fldChar w:fldCharType="end"/>
    </w:r>
    <w:r>
      <w:rPr>
        <w:rFonts w:ascii="Times New Roman" w:hAnsi="Times New Roman"/>
        <w:color w:val="000000"/>
        <w:sz w:val="17"/>
      </w:rPr>
      <w:t xml:space="preserve"> / </w:t>
    </w:r>
    <w:r>
      <w:rPr>
        <w:rFonts w:ascii="Times New Roman" w:hAnsi="Times New Roman"/>
        <w:color w:val="000000"/>
        <w:sz w:val="17"/>
      </w:rPr>
      <w:fldChar w:fldCharType="begin"/>
      <w:instrText xml:space="preserve"> NUMPAGES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olor w:val="808080"/>
        <w:sz w:val="16"/>
      </w:rPr>
      <w:t>MIO &amp; G-SS CO.,LTD — MASTER SALES FRAMEWORK AGREEMENT | FORM: FRM-TRD-01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MASTER INTERNATIONAL SALE OF GOODS AGREEMENT — G-SS CO.,LTD</dc:title>
  <dc:subject>Master International Sales Framework Agreement — SSOT Blueprint FRM-TRD-01</dc:subject>
  <dc:creator>GLOBAL SOLUTION SERVICE COMPANY LIMITED (G-SS CO.,LTD)</dc:creator>
  <cp:keywords>GSS; CMH; MFA; SSOT; VIAC; ATIGA; INCOTERMS 2020; INTERNATIONAL TRADE</cp:keywords>
  <dc:description>SSOT Master Contract Blueprint — coltdgss-mio-hub / GSS Trade Hub</dc:description>
  <cp:lastModifiedBy/>
  <cp:revision>1</cp:revision>
  <dcterms:created xsi:type="dcterms:W3CDTF">2013-12-23T23:15:00Z</dcterms:created>
  <dcterms:modified xsi:type="dcterms:W3CDTF">2013-12-23T23:15:00Z</dcterms:modified>
  <cp:category/>
</cp:coreProperties>
</file>