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br/>
        <w:t>Độc lập - Tự do - Hạnh phúc</w:t>
        <w:br/>
        <w:t>----- *** -----</w:t>
      </w:r>
    </w:p>
    <w:p>
      <w:pPr>
        <w:spacing w:before="160" w:after="40"/>
        <w:jc w:val="center"/>
      </w:pPr>
      <w:r>
        <w:rPr>
          <w:rFonts w:ascii="Times New Roman" w:hAnsi="Times New Roman"/>
          <w:b/>
          <w:color w:val="000000"/>
          <w:sz w:val="26"/>
        </w:rPr>
        <w:t>HỢP ĐỒNG NGUYÊN TẮC MUA BÁN VÀ CUNG ỨNG HÀNG HÓA SẢN XUẤT</w:t>
      </w:r>
    </w:p>
    <w:p>
      <w:pPr>
        <w:spacing w:after="80"/>
        <w:jc w:val="center"/>
      </w:pPr>
      <w:r>
        <w:rPr>
          <w:rFonts w:ascii="Times New Roman" w:hAnsi="Times New Roman"/>
          <w:i/>
          <w:color w:val="000000"/>
          <w:sz w:val="20"/>
        </w:rPr>
        <w:t>(V/v: Cung ứng sản phẩm bánh snack và thực phẩm chế biến phục vụ kinh doanh xuất khẩu)</w:t>
      </w:r>
    </w:p>
    <w:p>
      <w:pPr>
        <w:spacing w:after="160"/>
        <w:jc w:val="center"/>
      </w:pPr>
      <w:r>
        <w:rPr>
          <w:rFonts w:ascii="Times New Roman" w:hAnsi="Times New Roman"/>
          <w:b/>
          <w:color w:val="000000"/>
          <w:sz w:val="20"/>
        </w:rPr>
        <w:t>Số: GSS-SUP-[YEAR]-MFA / [SO_HOP_DONG_NGUYEN_TAC]</w:t>
      </w:r>
    </w:p>
    <w:p>
      <w:pPr>
        <w:spacing w:before="0" w:after="40"/>
      </w:pPr>
      <w:r>
        <w:rPr>
          <w:rFonts w:ascii="Times New Roman" w:hAnsi="Times New Roman"/>
          <w:i/>
          <w:color w:val="000000"/>
          <w:sz w:val="19"/>
        </w:rPr>
        <w:t>- Căn cứ Bộ luật Dân sự số 91/2015/QH13 có hiệu lực thi hành từ ngày 01/01/2017;</w:t>
      </w:r>
    </w:p>
    <w:p>
      <w:pPr>
        <w:spacing w:before="0" w:after="40"/>
      </w:pPr>
      <w:r>
        <w:rPr>
          <w:rFonts w:ascii="Times New Roman" w:hAnsi="Times New Roman"/>
          <w:i/>
          <w:color w:val="000000"/>
          <w:sz w:val="19"/>
        </w:rPr>
        <w:t>- Căn cứ Luật Thương mại số 36/2005/QH11 có hiệu lực thi hành từ ngày 01/01/2006;</w:t>
      </w:r>
    </w:p>
    <w:p>
      <w:pPr>
        <w:spacing w:before="0" w:after="40"/>
      </w:pPr>
      <w:r>
        <w:rPr>
          <w:rFonts w:ascii="Times New Roman" w:hAnsi="Times New Roman"/>
          <w:i/>
          <w:color w:val="000000"/>
          <w:sz w:val="19"/>
        </w:rPr>
        <w:t>- Căn cứ Luật Quản lý thuế số 38/2019/QH14 và Nghị định số 123/2020/NĐ-CP của Chính phủ quy định về hóa đơn, chứng từ;</w:t>
      </w:r>
    </w:p>
    <w:p>
      <w:pPr>
        <w:spacing w:before="0" w:after="40"/>
      </w:pPr>
      <w:r>
        <w:rPr>
          <w:rFonts w:ascii="Times New Roman" w:hAnsi="Times New Roman"/>
          <w:i/>
          <w:color w:val="000000"/>
          <w:sz w:val="19"/>
        </w:rPr>
        <w:t>- Căn cứ Thông tư số 219/2013/TT-BTC, Thông tư số 130/2016/TT-BTC và Thông tư số 80/2021/TT-BTC của Bộ Tài chính hướng dẫn về thuế giá trị gia tăng và điều kiện khấu trừ, hoàn thuế GTGT 0% đối với hàng hóa xuất khẩu;</w:t>
      </w:r>
    </w:p>
    <w:p>
      <w:pPr>
        <w:spacing w:before="0" w:after="40"/>
      </w:pPr>
      <w:r>
        <w:rPr>
          <w:rFonts w:ascii="Times New Roman" w:hAnsi="Times New Roman"/>
          <w:i/>
          <w:color w:val="000000"/>
          <w:sz w:val="19"/>
        </w:rPr>
        <w:t>- Căn cứ vào nhu cầu kinh doanh thương mại quốc tế của Bên B và năng lực sản xuất, cung ứng thực tế của Bên A.</w:t>
      </w:r>
    </w:p>
    <w:p>
      <w:pPr>
        <w:spacing w:before="80" w:after="80"/>
      </w:pPr>
      <w:r>
        <w:rPr>
          <w:rFonts w:ascii="Times New Roman" w:hAnsi="Times New Roman"/>
          <w:color w:val="000000"/>
          <w:sz w:val="19"/>
        </w:rPr>
        <w:t>Hôm nay, ngày ...... tháng ...... năm 2026, tại Trụ sở Công ty TNHH Global Solution Service, chúng tôi gồm có:</w:t>
      </w:r>
    </w:p>
    <w:tbl>
      <w:tblPr>
        <w:tblW w:type="auto" w:w="0"/>
        <w:jc w:val="center"/>
        <w:tblLook w:firstColumn="1" w:firstRow="1" w:lastColumn="0" w:lastRow="0" w:noHBand="0" w:noVBand="1" w:val="04A0"/>
      </w:tblPr>
      <w:tblGrid>
        <w:gridCol w:w="4896"/>
        <w:gridCol w:w="4896"/>
      </w:tblGrid>
      <w:tr>
        <w:tc>
          <w:tcPr>
            <w:tcW w:type="dxa" w:w="4896"/>
            <w:shd w:fill="E8E8E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BÊN A — NHÀ SẢN XUẤT (BÊN BÁN)</w:t>
            </w:r>
          </w:p>
        </w:tc>
        <w:tc>
          <w:tcPr>
            <w:tcW w:type="dxa" w:w="4896"/>
            <w:shd w:fill="E8E8E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BÊN B — DOANH NGHIỆP XUẤT KHẨU (BÊN MUA)</w:t>
            </w:r>
          </w:p>
        </w:tc>
      </w:tr>
      <w:tr>
        <w:tc>
          <w:tcPr>
            <w:tcW w:type="dxa" w:w="4896"/>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color w:val="000000"/>
                <w:sz w:val="17"/>
              </w:rPr>
              <w:t xml:space="preserve">BÊN BÁN (NHÀ SẢN XUẤT): </w:t>
            </w:r>
            <w:r>
              <w:rPr>
                <w:rFonts w:ascii="Times New Roman" w:hAnsi="Times New Roman"/>
                <w:color w:val="000000"/>
                <w:sz w:val="17"/>
              </w:rPr>
              <w:t>[TÊN_NHÀ_CUNG_CẤP_SẢN_XUẤT]</w:t>
              <w:br/>
              <w:t>(Ví dụ: CÔNG TY TNHH ĐẦU TƯ THƯƠNG MẠI CÔNG NGHIỆP THIÊN LONG)</w:t>
              <w:br/>
            </w:r>
            <w:r>
              <w:rPr>
                <w:rFonts w:ascii="Times New Roman" w:hAnsi="Times New Roman"/>
                <w:b/>
                <w:color w:val="000000"/>
                <w:sz w:val="17"/>
              </w:rPr>
              <w:t xml:space="preserve">Mã số thuế: </w:t>
            </w:r>
            <w:r>
              <w:rPr>
                <w:rFonts w:ascii="Times New Roman" w:hAnsi="Times New Roman"/>
                <w:color w:val="000000"/>
                <w:sz w:val="17"/>
              </w:rPr>
              <w:t>[MST_NHÀ_CUNG_CẤP]</w:t>
              <w:br/>
            </w:r>
            <w:r>
              <w:rPr>
                <w:rFonts w:ascii="Times New Roman" w:hAnsi="Times New Roman"/>
                <w:b/>
                <w:color w:val="000000"/>
                <w:sz w:val="17"/>
              </w:rPr>
              <w:t xml:space="preserve">Địa chỉ trụ sở chính: </w:t>
            </w:r>
            <w:r>
              <w:rPr>
                <w:rFonts w:ascii="Times New Roman" w:hAnsi="Times New Roman"/>
                <w:color w:val="000000"/>
                <w:sz w:val="17"/>
              </w:rPr>
              <w:t>[ĐỊA_CHỈ_TRỤ_SỞ_CHÍNH_NCC]</w:t>
              <w:br/>
            </w:r>
            <w:r>
              <w:rPr>
                <w:rFonts w:ascii="Times New Roman" w:hAnsi="Times New Roman"/>
                <w:b/>
                <w:color w:val="000000"/>
                <w:sz w:val="17"/>
              </w:rPr>
              <w:t xml:space="preserve">Địa chỉ nhà máy sản xuất: </w:t>
            </w:r>
            <w:r>
              <w:rPr>
                <w:rFonts w:ascii="Times New Roman" w:hAnsi="Times New Roman"/>
                <w:color w:val="000000"/>
                <w:sz w:val="17"/>
              </w:rPr>
              <w:t>[ĐỊA_CHỈ_KHO_XƯỞNG_SẢN_XUẤT_NCC]</w:t>
              <w:br/>
            </w:r>
            <w:r>
              <w:rPr>
                <w:rFonts w:ascii="Times New Roman" w:hAnsi="Times New Roman"/>
                <w:b/>
                <w:color w:val="000000"/>
                <w:sz w:val="17"/>
              </w:rPr>
              <w:t xml:space="preserve">Người đại diện pháp luật: </w:t>
            </w:r>
            <w:r>
              <w:rPr>
                <w:rFonts w:ascii="Times New Roman" w:hAnsi="Times New Roman"/>
                <w:color w:val="000000"/>
                <w:sz w:val="17"/>
              </w:rPr>
              <w:t>[HỌ_TÊN_ĐẠI_DIỆN_NCC] — Chức vụ: [CHỨC_VỤ_NCC]</w:t>
              <w:br/>
            </w:r>
            <w:r>
              <w:rPr>
                <w:rFonts w:ascii="Times New Roman" w:hAnsi="Times New Roman"/>
                <w:b/>
                <w:color w:val="000000"/>
                <w:sz w:val="17"/>
              </w:rPr>
              <w:t xml:space="preserve">Điện thoại / Hotline: </w:t>
            </w:r>
            <w:r>
              <w:rPr>
                <w:rFonts w:ascii="Times New Roman" w:hAnsi="Times New Roman"/>
                <w:color w:val="000000"/>
                <w:sz w:val="17"/>
              </w:rPr>
              <w:t>[SỐ_ĐIỆN_THOẠI_NCC] | Email: [EMAIL_HÓA_ĐƠN_XML_NCC]</w:t>
              <w:br/>
            </w:r>
            <w:r>
              <w:rPr>
                <w:rFonts w:ascii="Times New Roman" w:hAnsi="Times New Roman"/>
                <w:b/>
                <w:color w:val="000000"/>
                <w:sz w:val="17"/>
              </w:rPr>
              <w:t xml:space="preserve">Tài khoản thanh toán VND: </w:t>
            </w:r>
            <w:r>
              <w:rPr>
                <w:rFonts w:ascii="Times New Roman" w:hAnsi="Times New Roman"/>
                <w:color w:val="000000"/>
                <w:sz w:val="17"/>
              </w:rPr>
              <w:t>Số TK: [SỐ_TÀI_KHOẢN_VND_NCC] mở tại [TÊN_NGÂN_HÀNG_NCC] — Chi nhánh [CHI_NHÁNH_NH_NCC]</w:t>
              <w:br/>
            </w:r>
          </w:p>
        </w:tc>
        <w:tc>
          <w:tcPr>
            <w:tcW w:type="dxa" w:w="4896"/>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color w:val="000000"/>
                <w:sz w:val="17"/>
              </w:rPr>
              <w:t xml:space="preserve">BÊN MUA (DOANH NGHIỆP XUẤT KHẨU): </w:t>
            </w:r>
            <w:r>
              <w:rPr>
                <w:rFonts w:ascii="Times New Roman" w:hAnsi="Times New Roman"/>
                <w:color w:val="000000"/>
                <w:sz w:val="17"/>
              </w:rPr>
              <w:t>CÔNG TY TNHH GLOBAL SOLUTION SERVICE (G-SS CO.,LTD)</w:t>
              <w:br/>
            </w:r>
            <w:r>
              <w:rPr>
                <w:rFonts w:ascii="Times New Roman" w:hAnsi="Times New Roman"/>
                <w:b/>
                <w:color w:val="000000"/>
                <w:sz w:val="17"/>
              </w:rPr>
              <w:t xml:space="preserve">Mã số thuế: </w:t>
            </w:r>
            <w:r>
              <w:rPr>
                <w:rFonts w:ascii="Times New Roman" w:hAnsi="Times New Roman"/>
                <w:color w:val="000000"/>
                <w:sz w:val="17"/>
              </w:rPr>
              <w:t>0109469047</w:t>
              <w:br/>
            </w:r>
            <w:r>
              <w:rPr>
                <w:rFonts w:ascii="Times New Roman" w:hAnsi="Times New Roman"/>
                <w:b/>
                <w:color w:val="000000"/>
                <w:sz w:val="17"/>
              </w:rPr>
              <w:t xml:space="preserve">Địa chỉ trụ sở chính: </w:t>
            </w:r>
            <w:r>
              <w:rPr>
                <w:rFonts w:ascii="Times New Roman" w:hAnsi="Times New Roman"/>
                <w:color w:val="000000"/>
                <w:sz w:val="17"/>
              </w:rPr>
              <w:t>Tầng 18, tòa nhà CEO Tower, Lô HH2-1, Khu đô thị Mễ Trì Hạ, đường Phạm Hùng, Phường Từ Liêm, Thành phố Hà Nội, Việt Nam</w:t>
              <w:br/>
            </w:r>
            <w:r>
              <w:rPr>
                <w:rFonts w:ascii="Times New Roman" w:hAnsi="Times New Roman"/>
                <w:b/>
                <w:color w:val="000000"/>
                <w:sz w:val="17"/>
              </w:rPr>
              <w:t xml:space="preserve">Người đại diện pháp luật: </w:t>
            </w:r>
            <w:r>
              <w:rPr>
                <w:rFonts w:ascii="Times New Roman" w:hAnsi="Times New Roman"/>
                <w:color w:val="000000"/>
                <w:sz w:val="17"/>
              </w:rPr>
              <w:t>Ông NGUYỄN VĂN TRUNG — Chức vụ: Giám đốc</w:t>
              <w:br/>
            </w:r>
            <w:r>
              <w:rPr>
                <w:rFonts w:ascii="Times New Roman" w:hAnsi="Times New Roman"/>
                <w:b/>
                <w:color w:val="000000"/>
                <w:sz w:val="17"/>
              </w:rPr>
              <w:t xml:space="preserve">Hotline điều hành &amp; Kế toán: </w:t>
            </w:r>
            <w:r>
              <w:rPr>
                <w:rFonts w:ascii="Times New Roman" w:hAnsi="Times New Roman"/>
                <w:color w:val="000000"/>
                <w:sz w:val="17"/>
              </w:rPr>
              <w:t>Tel: 0966 688 525 | Email: trungnv.gss@gmail.com / safetylife.1st@gmail.com</w:t>
              <w:br/>
            </w:r>
            <w:r>
              <w:rPr>
                <w:rFonts w:ascii="Times New Roman" w:hAnsi="Times New Roman"/>
                <w:b/>
                <w:color w:val="000000"/>
                <w:sz w:val="17"/>
              </w:rPr>
              <w:t xml:space="preserve">Tài khoản thanh toán VND: </w:t>
            </w:r>
            <w:r>
              <w:rPr>
                <w:rFonts w:ascii="Times New Roman" w:hAnsi="Times New Roman"/>
                <w:color w:val="000000"/>
                <w:sz w:val="17"/>
              </w:rPr>
              <w:t>Số TK: 2991116668888 mở tại Ngân hàng TMCP Quân Đội (MB Bank) — Chi nhánh Phùng Hưng, Hà Nội</w:t>
              <w:br/>
            </w:r>
          </w:p>
        </w:tc>
      </w:tr>
    </w:tbl>
    <w:p>
      <w:pPr>
        <w:keepNext/>
        <w:spacing w:before="160" w:after="40"/>
      </w:pPr>
      <w:r>
        <w:rPr>
          <w:rFonts w:ascii="Times New Roman" w:hAnsi="Times New Roman"/>
          <w:b/>
          <w:color w:val="000000"/>
          <w:sz w:val="20"/>
        </w:rPr>
        <w:t>ĐIỀU 1: MỤC ĐÍCH, ĐỐI TƯỢNG HỢP ĐỒNG &amp; CƠ CHẾ ĐƠN ĐẶT HÀNG (PO)</w:t>
      </w:r>
    </w:p>
    <w:p>
      <w:pPr>
        <w:spacing w:before="20" w:after="60" w:line="276" w:lineRule="auto"/>
      </w:pPr>
      <w:r>
        <w:rPr>
          <w:rFonts w:ascii="Times New Roman" w:hAnsi="Times New Roman"/>
          <w:color w:val="000000"/>
          <w:sz w:val="19"/>
        </w:rPr>
        <w:t>1.1. Đối tượng hợp đồng: Bên Mua đồng ý mua và Bên Bán đồng ý sản xuất, chế biến và cung ứng các sản phẩm bánh snack, thực phẩm chế biến và bao bì thành phẩm do Bên Bán trực tiếp sản xuất, bảo đảm các tiêu chuẩn chất lượng cao phục vụ mục tiêu kinh doanh thương mại và xuất khẩu sang thị trường các nước ASEAN và quốc tế trong suốt thời hạn hiệu lực của Hợp đồng này.</w:t>
      </w:r>
    </w:p>
    <w:p>
      <w:pPr>
        <w:spacing w:before="20" w:after="60" w:line="276" w:lineRule="auto"/>
      </w:pPr>
      <w:r>
        <w:rPr>
          <w:rFonts w:ascii="Times New Roman" w:hAnsi="Times New Roman"/>
          <w:color w:val="000000"/>
          <w:sz w:val="19"/>
        </w:rPr>
        <w:t>1.2. Danh mục sản phẩm cung ứng: Các dòng bánh snack, thực phẩm chế biến và sản phẩm liên quan theo năng lực sản xuất của Bên Bán và nhu cầu phát triển thị trường của Bên Mua. Chủng loại hàng hóa cụ thể, mã HS, tên thương mại, quy cách đóng gói (số gram/cốc/gói, số đơn vị/thùng carton), kích thước thùng, tiêu chuẩn kỹ thuật, tem nhãn thành phẩm, đơn giá Ex-Works, số lượng và tổng giá trị cho từng đợt đặt hàng sẽ được xác định chi tiết trong từng 'Đơn đặt hàng kiêm Phụ lục hợp đồng' (Purchase Order - PO) ký kết độc lập giữa hai Bên.</w:t>
      </w:r>
    </w:p>
    <w:p>
      <w:pPr>
        <w:spacing w:before="20" w:after="60" w:line="276" w:lineRule="auto"/>
      </w:pPr>
      <w:r>
        <w:rPr>
          <w:rFonts w:ascii="Times New Roman" w:hAnsi="Times New Roman"/>
          <w:color w:val="000000"/>
          <w:sz w:val="19"/>
        </w:rPr>
        <w:t>1.3. Cơ chế Hợp đồng nguyên tắc khung: Hợp đồng này là hợp đồng khung xác lập tư cách pháp nhân, tiêu chuẩn kỹ thuật an toàn thực phẩm, nghĩa vụ bảo đảm chứng từ thuế và nguyên tắc giao dịch chung giữa hai Bên. Từng giao dịch cụ thể được điều chỉnh bởi Đơn đặt hàng (PO). Không có nghĩa vụ ràng buộc về số lượng tối thiểu hoặc cam kết doanh số trừ khi được quy định cụ thể bằng văn bản trong từng PO đã ký.</w:t>
      </w:r>
    </w:p>
    <w:p>
      <w:pPr>
        <w:spacing w:before="20" w:after="60" w:line="276" w:lineRule="auto"/>
      </w:pPr>
      <w:r>
        <w:rPr>
          <w:rFonts w:ascii="Times New Roman" w:hAnsi="Times New Roman"/>
          <w:color w:val="000000"/>
          <w:sz w:val="19"/>
        </w:rPr>
        <w:t>1.4. Tính liên kết pháp lý: Mọi Đơn đặt hàng (PO) hoặc Phụ lục mua hàng được đại diện có thẩm quyền hai Bên ký tên và đóng dấu hợp pháp đều là bộ phận cấu thành không thể tách rời của Hợp đồng nguyên tắc này.</w:t>
      </w:r>
    </w:p>
    <w:p>
      <w:pPr>
        <w:keepNext/>
        <w:spacing w:before="160" w:after="40"/>
      </w:pPr>
      <w:r>
        <w:rPr>
          <w:rFonts w:ascii="Times New Roman" w:hAnsi="Times New Roman"/>
          <w:b/>
          <w:color w:val="000000"/>
          <w:sz w:val="20"/>
        </w:rPr>
        <w:t>ĐIỀU 2: TIÊU CHUẨN KỸ THUẬT, BAO BÌ XUẤT KHẨU &amp; TRÁCH NHIỆM BỒI THƯỜNG XUẤT KHẨU</w:t>
      </w:r>
    </w:p>
    <w:p>
      <w:pPr>
        <w:spacing w:before="20" w:after="60" w:line="276" w:lineRule="auto"/>
      </w:pPr>
      <w:r>
        <w:rPr>
          <w:rFonts w:ascii="Times New Roman" w:hAnsi="Times New Roman"/>
          <w:color w:val="000000"/>
          <w:sz w:val="19"/>
        </w:rPr>
        <w:t>2.1. Tiêu chuẩn chất lượng: Toàn bộ hàng hóa do Bên Bán sản xuất phải tuân thủ nghiêm ngặt các quy định về an toàn vệ sinh thực phẩm theo pháp luật Việt Nam và tiêu chuẩn ISO 22000 / HACCP; hạn sử dụng còn lại của sản phẩm tính đến thời điểm phương tiện vận tải bốc hàng tại cửa kho xưởng Bên Bán phải đạt tối thiểu từ tám mươi phần trăm (80%) tổng thời hạn sử dụng ghi trên bao bì.</w:t>
      </w:r>
    </w:p>
    <w:p>
      <w:pPr>
        <w:spacing w:before="20" w:after="60" w:line="276" w:lineRule="auto"/>
      </w:pPr>
      <w:r>
        <w:rPr>
          <w:rFonts w:ascii="Times New Roman" w:hAnsi="Times New Roman"/>
          <w:color w:val="000000"/>
          <w:sz w:val="19"/>
        </w:rPr>
        <w:t>2.2. Quy chuẩn bao bì xuất khẩu: Hàng hóa phải được đóng gói bằng bao bì chuyên dụng, dán màng niêm phong kín khí, đóng lốc túi và xếp vào thùng carton nhiều lớp chịu lực cao cấp theo đúng thông số kỹ thuật và kích thước thỏa thuận trong từng PO, có in đầy đủ nhãn mác xuất khẩu, số lô sản xuất, ngày sản xuất và hạn sử dụng theo đúng maket đã được Bên Mua phê duyệt. Đảm bảo chịu được va đập trong quá trình vận chuyển đường bộ đường dài và không bị móp méo khi xếp chồng.</w:t>
      </w:r>
    </w:p>
    <w:p>
      <w:pPr>
        <w:spacing w:before="20" w:after="60" w:line="276" w:lineRule="auto"/>
      </w:pPr>
      <w:r>
        <w:rPr>
          <w:rFonts w:ascii="Times New Roman" w:hAnsi="Times New Roman"/>
          <w:color w:val="000000"/>
          <w:sz w:val="19"/>
        </w:rPr>
        <w:t>2.3. Trách nhiệm đổi trả hàng lỗi: Bên Bán có nghĩa vụ đổi mới 100% trong vòng hai mươi tư (24) giờ đối với bất kỳ sản phẩm nào không đạt tiêu chuẩn kỹ thuật, lỗi màng seal, móp méo thùng hoặc sai quy cách phát hiện trong quá trình bốc xếp.</w:t>
      </w:r>
    </w:p>
    <w:p>
      <w:pPr>
        <w:spacing w:before="20" w:after="60" w:line="276" w:lineRule="auto"/>
      </w:pPr>
      <w:r>
        <w:rPr>
          <w:rFonts w:ascii="Times New Roman" w:hAnsi="Times New Roman"/>
          <w:color w:val="000000"/>
          <w:sz w:val="19"/>
        </w:rPr>
        <w:t>2.4. Trách nhiệm bồi thường xuất khẩu: Trường hợp hàng hóa bị Cơ quan Hải quan cửa khẩu Việt Nam đình chỉ thông quan, hoặc cơ quan kiểm dịch/hải quan nước bạn xử phạt, tịch thu, tái xuất do lỗi kỹ thuật sản xuất, chất lượng không đạt chuẩn, hoặc sai lệch thành phần công bố từ nhà máy, Bên Bán chịu trách nhiệm bồi thường 100% giá trị lô hàng bị thiệt hại cộng với toàn bộ các chi phí vận tải, lưu kho bãi và tiền phạt phát sinh liên quan của Bên Mua.</w:t>
      </w:r>
    </w:p>
    <w:p>
      <w:pPr>
        <w:keepNext/>
        <w:spacing w:before="160" w:after="40"/>
      </w:pPr>
      <w:r>
        <w:rPr>
          <w:rFonts w:ascii="Times New Roman" w:hAnsi="Times New Roman"/>
          <w:b/>
          <w:color w:val="000000"/>
          <w:sz w:val="20"/>
        </w:rPr>
        <w:t>ĐIỀU 3: ĐƠN GIÁ TRỌN GÓI TẠI KHO XƯỞNG &amp; NGHĨA VỤ BỐC XẾP LÊN XE</w:t>
      </w:r>
    </w:p>
    <w:p>
      <w:pPr>
        <w:spacing w:before="20" w:after="60" w:line="276" w:lineRule="auto"/>
      </w:pPr>
      <w:r>
        <w:rPr>
          <w:rFonts w:ascii="Times New Roman" w:hAnsi="Times New Roman"/>
          <w:color w:val="000000"/>
          <w:sz w:val="19"/>
        </w:rPr>
        <w:t>3.1. Đơn giá trọn gói tại cửa kho (Ex-Works Inclusive): Đơn giá hàng hóa xác lập trong từng Đơn đặt hàng (PO) là đơn giá giao tại Cửa Kho Nhà máy Bên Bán, đã bao gồm: (i) Thuế giá trị gia tăng (GTGT) theo thuế suất luật định; (ii) Chi phí bao bì, cốc, túi, màng dán và thùng carton tiêu chuẩn xuất khẩu; (iii) Chi phí tem nhãn hàng hóa; và (iv) Toàn bộ chi phí nhân công, xe nâng bốc dỡ xếp toàn bộ hàng hóa lên phương tiện vận tải đường bộ của Bên Mua.</w:t>
      </w:r>
    </w:p>
    <w:p>
      <w:pPr>
        <w:spacing w:before="20" w:after="60" w:line="276" w:lineRule="auto"/>
      </w:pPr>
      <w:r>
        <w:rPr>
          <w:rFonts w:ascii="Times New Roman" w:hAnsi="Times New Roman"/>
          <w:color w:val="000000"/>
          <w:sz w:val="19"/>
        </w:rPr>
        <w:t>3.2. Cấm phát sinh phụ phí bốc dỡ: Bên Bán có trách nhiệm bố trí đủ công nhân và phương tiện bốc xếp hàng hóa lên phương tiện vận chuyển của Bên Mua một cách an toàn, ngay ngắn và đúng quy chuẩn xếp hàng. Nghiêm cấm Bên Bán hoặc công nhân nhà máy thu thêm bất kỳ khoản phụ phí bốc dỡ hoặc phí cổng bãi nào đối với lái xe hoặc đơn vị vận tải của Bên Mua.</w:t>
      </w:r>
    </w:p>
    <w:p>
      <w:pPr>
        <w:spacing w:before="20" w:after="60" w:line="276" w:lineRule="auto"/>
      </w:pPr>
      <w:r>
        <w:rPr>
          <w:rFonts w:ascii="Times New Roman" w:hAnsi="Times New Roman"/>
          <w:color w:val="000000"/>
          <w:sz w:val="19"/>
        </w:rPr>
        <w:t>3.3. Ổn định giá: Bên Bán cam kết giữ ổn định đơn giá trong thời gian hiệu lực của từng Đơn đặt hàng. Khi có biến động lớn về giá nguyên liệu đầu vào, Bên Bán phải gửi văn bản thông báo trước tối thiểu mười lăm (15) ngày để hai Bên cùng đàm phán thống nhất mức giá mới cho các đơn hàng tiếp theo.</w:t>
      </w:r>
    </w:p>
    <w:p>
      <w:pPr>
        <w:keepNext/>
        <w:spacing w:before="160" w:after="40"/>
      </w:pPr>
      <w:r>
        <w:rPr>
          <w:rFonts w:ascii="Times New Roman" w:hAnsi="Times New Roman"/>
          <w:b/>
          <w:color w:val="000000"/>
          <w:sz w:val="20"/>
        </w:rPr>
        <w:t>ĐIỀU 4: ĐỊA ĐIỂM, PHƯƠNG THỨC GIAO NHẬN &amp; XÁC NHẬN CHỨNG TỪ KHO</w:t>
      </w:r>
    </w:p>
    <w:p>
      <w:pPr>
        <w:spacing w:before="20" w:after="60" w:line="276" w:lineRule="auto"/>
      </w:pPr>
      <w:r>
        <w:rPr>
          <w:rFonts w:ascii="Times New Roman" w:hAnsi="Times New Roman"/>
          <w:color w:val="000000"/>
          <w:sz w:val="19"/>
        </w:rPr>
        <w:t>4.1. Địa điểm giao hàng: Tại Cửa Kho Nhà máy sản xuất của Bên Bán. Hàng hóa được giao lên phương tiện vận tải do Bên Mua điều động hoặc ủy thác.</w:t>
      </w:r>
    </w:p>
    <w:p>
      <w:pPr>
        <w:spacing w:before="20" w:after="60" w:line="276" w:lineRule="auto"/>
      </w:pPr>
      <w:r>
        <w:rPr>
          <w:rFonts w:ascii="Times New Roman" w:hAnsi="Times New Roman"/>
          <w:color w:val="000000"/>
          <w:sz w:val="19"/>
        </w:rPr>
        <w:t>4.2. Thông báo bốc hàng: Bên Mua thông báo kế hoạch điều xe cho Bên Bán trước tối thiểu 02 (hai) giờ. Bên Bán có trách nhiệm chuẩn bị sẵn sàng 100% số lượng hàng hóa đóng gói hoàn chỉnh tại khu vực cửa xuất hàng để phương tiện bốc xếp ngay khi vào kho, không làm neo lưu xe quá thời gian quy định.</w:t>
      </w:r>
    </w:p>
    <w:p>
      <w:pPr>
        <w:spacing w:before="20" w:after="60" w:line="276" w:lineRule="auto"/>
      </w:pPr>
      <w:r>
        <w:rPr>
          <w:rFonts w:ascii="Times New Roman" w:hAnsi="Times New Roman"/>
          <w:color w:val="000000"/>
          <w:sz w:val="19"/>
        </w:rPr>
        <w:t>4.3. Xác nhận giao nhận 2 chứng từ bắt buộc: Tại thời điểm bàn giao, đại diện hai Bên (hoặc lái xe được Bên Mua ủy thác) tiến hành kiểm đếm số lượng thực tế và ký kết đồng thời: (1) Biên bản bàn giao hàng hóa xác nhận số lượng thùng nguyên vẹn; và (2) Phiếu xuất kho kiêm vận chuyển nội bộ hoặc Phiếu xuất kho của Bên Bán có đóng dấu treo/dấu mộc của Bên Bán.</w:t>
      </w:r>
    </w:p>
    <w:p>
      <w:pPr>
        <w:keepNext/>
        <w:spacing w:before="160" w:after="40"/>
      </w:pPr>
      <w:r>
        <w:rPr>
          <w:rFonts w:ascii="Times New Roman" w:hAnsi="Times New Roman"/>
          <w:b/>
          <w:color w:val="000000"/>
          <w:sz w:val="20"/>
        </w:rPr>
        <w:t>ĐIỀU 5: NGUYÊN TẮC THANH TOÁN KHÔNG DÙNG TIỀN MẶT QUA NGÂN HÀNG</w:t>
      </w:r>
    </w:p>
    <w:p>
      <w:pPr>
        <w:spacing w:before="20" w:after="60" w:line="276" w:lineRule="auto"/>
      </w:pPr>
      <w:r>
        <w:rPr>
          <w:rFonts w:ascii="Times New Roman" w:hAnsi="Times New Roman"/>
          <w:color w:val="000000"/>
          <w:sz w:val="19"/>
        </w:rPr>
        <w:t>5.1. Bắt buộc thanh toán qua ngân hàng pháp nhân: Nhằm đảm bảo tính minh bạch tài chính và đáp ứng tuyệt đối điều kiện khấu trừ, hoàn thuế GTGT 0% theo quy định tại Điều 16 Thông tư 219/2013/TT-BTC, hai Bên cam kết thực hiện thanh toán 100% bằng hình thức chuyển khoản qua tài khoản ngân hàng chính thức của hai pháp nhân (Tài khoản Bên Mua tại MB Bank VND: 2991116668888; Tài khoản Bên Bán theo đăng ký kinh doanh). Tuyệt đối không chấp nhận thanh toán bằng tiền mặt hoặc qua tài khoản cá nhân.</w:t>
      </w:r>
    </w:p>
    <w:p>
      <w:pPr>
        <w:spacing w:before="20" w:after="60" w:line="276" w:lineRule="auto"/>
      </w:pPr>
      <w:r>
        <w:rPr>
          <w:rFonts w:ascii="Times New Roman" w:hAnsi="Times New Roman"/>
          <w:color w:val="000000"/>
          <w:sz w:val="19"/>
        </w:rPr>
        <w:t>5.2. Tiến độ thanh toán 2 đợt linh hoạt cho từng PO:</w:t>
        <w:br/>
        <w:t>- Đợt 1 (Tạm ứng cọc sản xuất): Bên Mua tạm ứng từ 30% đến 40% giá trị đơn hàng trong vòng 01–02 ngày làm việc sau khi hai Bên ký kết Đơn đặt hàng (PO) để Bên Bán chuẩn bị vật tư, vỏ hộp và bố trí ca sản xuất.</w:t>
        <w:br/>
        <w:t>- Đợt 2 (Thanh toán trước khi xe lăn bánh): Bên Mua thanh toán nốt phần tiền hàng còn lại (60% đến 70%) ngay khi Bên Bán hoàn tất đóng gói đủ 100% số lượng hàng theo đơn, hàng đã được bốc lên xe và kẹp chì niêm phong sẵn sàng xuất kho.</w:t>
      </w:r>
    </w:p>
    <w:p>
      <w:pPr>
        <w:spacing w:before="20" w:after="60" w:line="276" w:lineRule="auto"/>
      </w:pPr>
      <w:r>
        <w:rPr>
          <w:rFonts w:ascii="Times New Roman" w:hAnsi="Times New Roman"/>
          <w:color w:val="000000"/>
          <w:sz w:val="19"/>
        </w:rPr>
        <w:t>5.3. Chứng từ thanh toán ngân hàng: Ủy nhiệm chi và Giấy báo Nợ hợp lệ do MB Bank cấp là căn cứ pháp lý quyết toán tiền hàng giữa hai Bên.</w:t>
      </w:r>
    </w:p>
    <w:p>
      <w:pPr>
        <w:keepNext/>
        <w:spacing w:before="160" w:after="40"/>
      </w:pPr>
      <w:r>
        <w:rPr>
          <w:rFonts w:ascii="Times New Roman" w:hAnsi="Times New Roman"/>
          <w:b/>
          <w:color w:val="000000"/>
          <w:sz w:val="20"/>
        </w:rPr>
        <w:t>ĐIỀU 6: TRÁCH NHIỆM HÓA ĐƠN GTGT ĐIỆN TỬ, C/O VÀ HOÀN THUẾ GTGT 0%</w:t>
      </w:r>
    </w:p>
    <w:p>
      <w:pPr>
        <w:spacing w:before="20" w:after="60" w:line="276" w:lineRule="auto"/>
      </w:pPr>
      <w:r>
        <w:rPr>
          <w:rFonts w:ascii="Times New Roman" w:hAnsi="Times New Roman"/>
          <w:color w:val="000000"/>
          <w:sz w:val="19"/>
        </w:rPr>
        <w:t>6.1. Nghĩa vụ phát hành Hóa đơn GTGT điện tử hợp lệ: Trong vòng hai mươi tư (24) giờ kể từ khi hoàn tất giao hàng tại kho, Bên Bán có trách nhiệm phát hành Hóa đơn GTGT điện tử hợp pháp theo Nghị định 123/2020/NĐ-CP và Thông tư 78/2021/TT-BTC gửi cho Bên Mua (bao gồm file dữ liệu gốc định dạng XML và bản thể hiện định dạng PDF). Hóa đơn phải ghi chính xác tên hàng hóa chuẩn SSOT khớp với Đơn đặt hàng (PO) tương ứng, đúng đơn giá, thuế suất GTGT, đúng thông tin MST và địa chỉ ĐKKD của Bên Mua (MST 0109469047), đồng thời truyền dữ liệu hợp lệ lên Cổng thông tin của Tổng cục Thuế.</w:t>
      </w:r>
    </w:p>
    <w:p>
      <w:pPr>
        <w:spacing w:before="20" w:after="60" w:line="276" w:lineRule="auto"/>
      </w:pPr>
      <w:r>
        <w:rPr>
          <w:rFonts w:ascii="Times New Roman" w:hAnsi="Times New Roman"/>
          <w:color w:val="000000"/>
          <w:sz w:val="19"/>
        </w:rPr>
        <w:t>6.2. Nghĩa vụ cung cấp hồ sơ cấp C/O Mẫu D: Nhằm phục vụ thủ tục cấp Giấy chứng nhận xuất xứ hàng hóa C/O Form D (ATIGA) cho lô hàng xuất khẩu, Bên Bán có trách nhiệm cung cấp đầy đủ và kịp thời các tài liệu sau cho Bên Mua:</w:t>
        <w:br/>
        <w:t>(i) Bản cam kết xuất xứ của Nhà sản xuất theo mẫu của Bộ Công Thương;</w:t>
        <w:br/>
        <w:t>(ii) Bảng kê định mức tiêu hao nguyên phụ liệu sản xuất (BOM);</w:t>
        <w:br/>
        <w:t>(iii) Bản thuyết minh sơ đồ quy trình công nghệ chế biến sản phẩm;</w:t>
        <w:br/>
        <w:t>(iv) Bảng kê hóa đơn GTGT mua nguyên liệu, bao bì đầu vào của Bên Bán.</w:t>
      </w:r>
    </w:p>
    <w:p>
      <w:pPr>
        <w:spacing w:before="20" w:after="60" w:line="276" w:lineRule="auto"/>
      </w:pPr>
      <w:r>
        <w:rPr>
          <w:rFonts w:ascii="Times New Roman" w:hAnsi="Times New Roman"/>
          <w:color w:val="000000"/>
          <w:sz w:val="19"/>
        </w:rPr>
        <w:t>6.3. Cam kết bồi thường thiệt hại về thuế (Tax Indemnification Guarantee): Bên Bán cam kết tính trung thực, hợp pháp và hợp lệ của toàn bộ hóa đơn đầu vào, hóa đơn bán hàng và hồ sơ xuất xứ đã cung cấp. Trường hợp Bên Bán phát hành hóa đơn sai quy định, sử dụng hóa đơn bất hợp pháp, bị cơ quan Thuế đưa vào diện doanh nghiệp rủi ro cao về hóa đơn, hoặc chậm trễ giải trình dẫn đến việc Bên Mua bị cơ quan Thuế từ chối hoàn thuế GTGT 0%, truy thu thuế hoặc xử phạt vi phạm hành chính, Bên Bán có trách nhiệm bồi thường 100% toàn bộ số tiền thuế bị thiệt hại kèm tiền phạt chậm nộp và chi phí liên quan của Bên Mua.</w:t>
      </w:r>
    </w:p>
    <w:p>
      <w:pPr>
        <w:keepNext/>
        <w:spacing w:before="160" w:after="40"/>
      </w:pPr>
      <w:r>
        <w:rPr>
          <w:rFonts w:ascii="Times New Roman" w:hAnsi="Times New Roman"/>
          <w:b/>
          <w:color w:val="000000"/>
          <w:sz w:val="20"/>
        </w:rPr>
        <w:t>ĐIỀU 7: CAM KẾT BẢO MẬT KINH DOANH &amp; CHỐNG BÁN VƯỢT QUYỀN (NCNDA NỘI ĐỊA)</w:t>
      </w:r>
    </w:p>
    <w:p>
      <w:pPr>
        <w:spacing w:before="20" w:after="60" w:line="276" w:lineRule="auto"/>
      </w:pPr>
      <w:r>
        <w:rPr>
          <w:rFonts w:ascii="Times New Roman" w:hAnsi="Times New Roman"/>
          <w:color w:val="000000"/>
          <w:sz w:val="19"/>
        </w:rPr>
        <w:t>7.1. Bảo vệ khách hàng của Bên Mua: Bên Bán thừa nhận rằng toàn bộ danh sách khách hàng, đối tác nhập khẩu nước ngoài, hợp đồng thương mại và giá bán xuất khẩu do Bên Mua chia sẻ hoặc ủy thác thông tin là tài sản sở hữu trí tuệ và bí mật kinh doanh độc quyền của Bên Mua.</w:t>
      </w:r>
    </w:p>
    <w:p>
      <w:pPr>
        <w:spacing w:before="20" w:after="60" w:line="276" w:lineRule="auto"/>
      </w:pPr>
      <w:r>
        <w:rPr>
          <w:rFonts w:ascii="Times New Roman" w:hAnsi="Times New Roman"/>
          <w:color w:val="000000"/>
          <w:sz w:val="19"/>
        </w:rPr>
        <w:t>7.2. Cam kết chống bán hàng vượt quyền: Trong suốt thời hạn hiệu lực của Hợp đồng này và trong thời hạn ba mươi sáu (36) tháng kể từ ngày chấm dứt Hợp đồng, Bên Bán, các cổ đông, giám đốc hoặc người đại diện của Bên Bán cam kết tuyệt đối không được tiếp cận, liên hệ, báo giá, bán hàng trực tiếp hoặc thông qua bất kỳ bên thứ ba nào đối với các khách hàng nước ngoài do Bên Mua giới thiệu hoặc khách hàng nhận hàng theo các hợp đồng xuất khẩu của Bên Mua.</w:t>
      </w:r>
    </w:p>
    <w:p>
      <w:pPr>
        <w:spacing w:before="20" w:after="60" w:line="276" w:lineRule="auto"/>
      </w:pPr>
      <w:r>
        <w:rPr>
          <w:rFonts w:ascii="Times New Roman" w:hAnsi="Times New Roman"/>
          <w:color w:val="000000"/>
          <w:sz w:val="19"/>
        </w:rPr>
        <w:t>7.3. Chế tài vi phạm: Mọi hành vi vi phạm Điều 7 này sẽ buộc Bên Bán phải bồi thường cho Bên Mua toàn bộ lợi nhuận thu được từ các giao dịch vi phạm cộng với khoản tiền phạt vi phạm tương đương 100% giá trị đơn hàng gần nhất đã ký kết giữa hai Bên.</w:t>
      </w:r>
    </w:p>
    <w:p>
      <w:pPr>
        <w:keepNext/>
        <w:spacing w:before="160" w:after="40"/>
      </w:pPr>
      <w:r>
        <w:rPr>
          <w:rFonts w:ascii="Times New Roman" w:hAnsi="Times New Roman"/>
          <w:b/>
          <w:color w:val="000000"/>
          <w:sz w:val="20"/>
        </w:rPr>
        <w:t>ĐIỀU 8: GIẢI QUYẾT TRANH CHẤP, HIỆU LỰC &amp; ĐIỀU KHOẢN CHUNG</w:t>
      </w:r>
    </w:p>
    <w:p>
      <w:pPr>
        <w:spacing w:before="20" w:after="60" w:line="276" w:lineRule="auto"/>
      </w:pPr>
      <w:r>
        <w:rPr>
          <w:rFonts w:ascii="Times New Roman" w:hAnsi="Times New Roman"/>
          <w:color w:val="000000"/>
          <w:sz w:val="19"/>
        </w:rPr>
        <w:t>8.1. Giải quyết tranh chấp: Mọi bất đồng hoặc tranh chấp phát sinh từ Hợp đồng này trước hết được giải quyết thông qua thương lượng hòa giải giữa hai Bên trong thời hạn ba mươi (30) ngày. Trường hợp thương lượng không thành, tranh chấp sẽ được đưa ra giải quyết tại Tòa án nhân dân có thẩm quyền tại Thành phố Hà Nội (nơi Bên Mua đặt trụ sở chính) theo quy định của pháp luật Việt Nam. Án phí và các chi phí pháp lý do bên thua kiện chịu.</w:t>
      </w:r>
    </w:p>
    <w:p>
      <w:pPr>
        <w:spacing w:before="20" w:after="60" w:line="276" w:lineRule="auto"/>
      </w:pPr>
      <w:r>
        <w:rPr>
          <w:rFonts w:ascii="Times New Roman" w:hAnsi="Times New Roman"/>
          <w:color w:val="000000"/>
          <w:sz w:val="19"/>
        </w:rPr>
        <w:t>8.2. Hiệu lực hợp đồng: Hợp đồng này có hiệu lực 02 (hai) năm kể từ ngày ký và tự động gia hạn từng năm một nếu đến ngày hết hạn hai Bên không có thông báo chấm dứt bằng văn bản và vẫn tiếp tục phát sinh các Đơn đặt hàng thực tế.</w:t>
      </w:r>
    </w:p>
    <w:p>
      <w:pPr>
        <w:spacing w:before="20" w:after="60" w:line="276" w:lineRule="auto"/>
      </w:pPr>
      <w:r>
        <w:rPr>
          <w:rFonts w:ascii="Times New Roman" w:hAnsi="Times New Roman"/>
          <w:color w:val="000000"/>
          <w:sz w:val="19"/>
        </w:rPr>
        <w:t>8.3. Số bản phát hành: Hợp đồng được lập thành 02 (hai) bản gốc bằng tiếng Việt có giá trị pháp lý như nhau, mỗi Bên giữ 01 (một) bản để thực hiện.</w:t>
      </w:r>
    </w:p>
    <w:p>
      <w:pPr>
        <w:keepNext/>
        <w:spacing w:before="240" w:after="80"/>
      </w:pPr>
      <w:r>
        <w:rPr>
          <w:rFonts w:ascii="Times New Roman" w:hAnsi="Times New Roman"/>
          <w:b/>
          <w:color w:val="000000"/>
          <w:sz w:val="21"/>
        </w:rPr>
        <w:t>ĐẠI DIỆN HỢP PHÁP HAI BÊN KÝ TÊN VÀ ĐÓNG DẤU</w:t>
      </w:r>
    </w:p>
    <w:tbl>
      <w:tblPr>
        <w:tblW w:type="auto" w:w="0"/>
        <w:jc w:val="center"/>
        <w:tblLook w:firstColumn="1" w:firstRow="1" w:lastColumn="0" w:lastRow="0" w:noHBand="0" w:noVBand="1" w:val="04A0"/>
      </w:tblPr>
      <w:tblGrid>
        <w:gridCol w:w="4896"/>
        <w:gridCol w:w="4896"/>
      </w:tblGrid>
      <w:tr>
        <w:tc>
          <w:tcPr>
            <w:tcW w:type="dxa" w:w="4896"/>
          </w:tcPr>
          <w:p>
            <w:pPr>
              <w:jc w:val="center"/>
            </w:pPr>
            <w:r>
              <w:rPr>
                <w:rFonts w:ascii="Times New Roman" w:hAnsi="Times New Roman"/>
                <w:b/>
                <w:color w:val="000000"/>
                <w:sz w:val="19"/>
              </w:rPr>
              <w:t>ĐẠI DIỆN BÊN A (NHÀ SẢN XUẤT)</w:t>
              <w:br/>
              <w:t>[TÊN_NHÀ_CUNG_CẤP]</w:t>
            </w:r>
          </w:p>
        </w:tc>
        <w:tc>
          <w:tcPr>
            <w:tcW w:type="dxa" w:w="4896"/>
          </w:tcPr>
          <w:p>
            <w:pPr>
              <w:jc w:val="center"/>
            </w:pPr>
            <w:r>
              <w:rPr>
                <w:rFonts w:ascii="Times New Roman" w:hAnsi="Times New Roman"/>
                <w:b/>
                <w:color w:val="000000"/>
                <w:sz w:val="19"/>
              </w:rPr>
              <w:t>ĐẠI DIỆN BÊN B (DOANH NGHIỆP XNK)</w:t>
              <w:br/>
              <w:t>CÔNG TY TNHH GLOBAL SOLUTION SERVICE</w:t>
            </w:r>
          </w:p>
        </w:tc>
      </w:tr>
      <w:tr>
        <w:tc>
          <w:tcPr>
            <w:tcW w:type="dxa" w:w="4896"/>
          </w:tcPr>
          <w:p>
            <w:pPr>
              <w:jc w:val="center"/>
            </w:pPr>
            <w:r>
              <w:rPr>
                <w:rFonts w:ascii="Times New Roman" w:hAnsi="Times New Roman"/>
                <w:color w:val="000000"/>
                <w:sz w:val="18"/>
              </w:rPr>
              <w:br/>
              <w:br/>
              <w:br/>
              <w:br/>
              <w:t>_____________________________________</w:t>
              <w:br/>
              <w:t>[HỌ_TÊN_ĐẠI_DIỆN_NCC]</w:t>
              <w:br/>
              <w:t>Chức vụ: [CHỨC_VỤ_NCC]</w:t>
              <w:br/>
              <w:t>(Ký tên &amp; Đóng dấu)</w:t>
            </w:r>
          </w:p>
        </w:tc>
        <w:tc>
          <w:tcPr>
            <w:tcW w:type="dxa" w:w="4896"/>
          </w:tcPr>
          <w:p>
            <w:pPr>
              <w:jc w:val="center"/>
            </w:pPr>
            <w:r>
              <w:rPr>
                <w:rFonts w:ascii="Times New Roman" w:hAnsi="Times New Roman"/>
                <w:color w:val="000000"/>
                <w:sz w:val="18"/>
              </w:rPr>
              <w:br/>
              <w:br/>
              <w:br/>
              <w:br/>
              <w:t>_____________________________________</w:t>
              <w:br/>
              <w:t>NGUYỄN VĂN TRUNG</w:t>
              <w:br/>
              <w:t>Chức vụ: Giám đốc</w:t>
              <w:br/>
              <w:t>(Ký tên &amp; Đóng dấu)</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 xml:space="preserve">CÔNG TY TNHH GLOBAL SOLUTION SERVICE (MST: 0109469047)                         Trang </w:t>
    </w:r>
    <w:r>
      <w:rPr>
        <w:rFonts w:ascii="Times New Roman" w:hAnsi="Times New Roman"/>
        <w:color w:val="000000"/>
        <w:sz w:val="17"/>
      </w:rPr>
      <w:fldChar w:fldCharType="begin"/>
      <w:instrText xml:space="preserve"> PAGE </w:instrText>
      <w:fldChar w:fldCharType="separate"/>
      <w:fldChar w:fldCharType="end"/>
    </w:r>
    <w:r>
      <w:rPr>
        <w:rFonts w:ascii="Times New Roman" w:hAnsi="Times New Roman"/>
        <w:color w:val="000000"/>
        <w:sz w:val="17"/>
      </w:rPr>
      <w:t xml:space="preserve"> / </w:t>
    </w:r>
    <w:r>
      <w:rPr>
        <w:rFonts w:ascii="Times New Roman" w:hAnsi="Times New Roman"/>
        <w:color w:val="000000"/>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6"/>
      </w:rPr>
      <w:t>MIO &amp; G-SS CO.,LTD — HỢP ĐỒNG NGUYÊN TẮC CUNG ỨNG HÀNG HÓA | MẪU: FRM-PRO-01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MUA BÁN VÀ CUNG ỨNG HÀNG HÓA SẢN XUẤT — G-SS CO.,LTD</dc:title>
  <dc:subject>Master Domestic Supply Framework Agreement — SSOT Blueprint FRM-PRO-01</dc:subject>
  <dc:creator>CÔNG TY TNHH GLOBAL SOLUTION SERVICE (G-SS CO.,LTD)</dc:creator>
  <cp:keywords>GSS; CMH; PRO; SSOT; THIÊN LONG; CUNG ỨNG; HÓA ĐƠN GTGT; HOÀN THUẾ 0%</cp:keywords>
  <dc:description>coltdgss-mio-hub Master Contract Blueprint</dc:description>
  <cp:lastModifiedBy/>
  <cp:revision>1</cp:revision>
  <dcterms:created xsi:type="dcterms:W3CDTF">2013-12-23T23:15:00Z</dcterms:created>
  <dcterms:modified xsi:type="dcterms:W3CDTF">2013-12-23T23:15:00Z</dcterms:modified>
  <cp:category/>
</cp:coreProperties>
</file>