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sz w:val="28"/>
        </w:rPr>
        <w:t>HỢP ĐỒNG KHUNG MUA BÁN HÀNG HÓA QUỐC TẾ</w:t>
      </w:r>
    </w:p>
    <w:p>
      <w:pPr>
        <w:spacing w:before="0" w:after="160"/>
        <w:jc w:val="center"/>
      </w:pPr>
      <w:r>
        <w:rPr>
          <w:b/>
          <w:color w:val="000000"/>
          <w:sz w:val="26"/>
        </w:rPr>
        <w:t>MASTER INTERNATIONAL SALE OF GOODS AGREEMENT</w:t>
      </w:r>
    </w:p>
    <w:p>
      <w:pPr>
        <w:spacing w:after="200"/>
        <w:jc w:val="center"/>
      </w:pPr>
      <w:r>
        <w:rPr>
          <w:b/>
          <w:sz w:val="22"/>
        </w:rPr>
        <w:t>Số / No.: GSSDIX_FCA_269901 / GSS-DM-MSA-2026</w:t>
      </w:r>
    </w:p>
    <w:p>
      <w:pPr>
        <w:spacing w:after="40"/>
      </w:pPr>
      <w:r>
        <w:rPr>
          <w:sz w:val="20"/>
        </w:rPr>
        <w:t>Ngày ký: 09 / 09 / 2026</w:t>
        <w:br/>
      </w:r>
      <w:r>
        <w:rPr>
          <w:i/>
          <w:sz w:val="20"/>
        </w:rPr>
        <w:t>Signing Date: 09 / 09 / 2026</w:t>
      </w:r>
    </w:p>
    <w:p>
      <w:pPr>
        <w:spacing w:before="120" w:after="160"/>
      </w:pPr>
      <w:r>
        <w:rPr>
          <w:sz w:val="19"/>
        </w:rPr>
        <w:t>Căn cứ Bộ luật Dân sự và Luật Thương mại của nước Cộng hòa xã hội chủ nghĩa Việt Nam; căn cứ nhu cầu và năng lực của các Bên, các Bên thống nhất ký kết Hợp đồng này.</w:t>
        <w:br/>
      </w:r>
      <w:r>
        <w:rPr>
          <w:i/>
          <w:color w:val="000000"/>
          <w:sz w:val="18"/>
        </w:rPr>
        <w:t>Pursuant to the Civil Code and the Commercial Law of the Socialist Republic of Vietnam, and based on the needs and capabilities of the Parties, the Parties agree to enter into this Agreement.</w:t>
      </w:r>
    </w:p>
    <w:p>
      <w:pPr>
        <w:spacing w:before="80" w:after="80"/>
      </w:pPr>
      <w:r>
        <w:rPr>
          <w:b/>
          <w:color w:val="000000"/>
          <w:sz w:val="22"/>
        </w:rPr>
        <w:t>THÔNG TIN CÁC BÊN / PARTIES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5040"/>
        <w:gridCol w:w="5040"/>
      </w:tblGrid>
      <w:tr>
        <w:tc>
          <w:tcPr>
            <w:tcW w:type="dxa" w:w="5040"/>
            <w:shd w:fill="F2F2F2"/>
            <w:tcMar>
              <w:top w:w="60" w:type="dxa"/>
              <w:bottom w:w="60" w:type="dxa"/>
              <w:left w:w="80" w:type="dxa"/>
              <w:right w:w="80" w:type="dxa"/>
            </w:tcMar>
          </w:tcPr>
          <w:p>
            <w:r>
              <w:rPr>
                <w:b/>
                <w:sz w:val="17"/>
              </w:rPr>
              <w:t>BÊN A – BÊN BÁN</w:t>
              <w:br/>
              <w:t>PARTY A – SELLER</w:t>
            </w:r>
          </w:p>
        </w:tc>
        <w:tc>
          <w:tcPr>
            <w:tcW w:type="dxa" w:w="5040"/>
            <w:shd w:fill="F2F2F2"/>
            <w:tcMar>
              <w:top w:w="60" w:type="dxa"/>
              <w:bottom w:w="60" w:type="dxa"/>
              <w:left w:w="80" w:type="dxa"/>
              <w:right w:w="80" w:type="dxa"/>
            </w:tcMar>
          </w:tcPr>
          <w:p>
            <w:r>
              <w:rPr>
                <w:b/>
                <w:sz w:val="17"/>
              </w:rPr>
              <w:t>BÊN B – BÊN MUA</w:t>
              <w:br/>
              <w:t>PARTY B – BUYER</w:t>
            </w:r>
          </w:p>
        </w:tc>
      </w:tr>
      <w:tr>
        <w:tc>
          <w:tcPr>
            <w:tcW w:type="dxa" w:w="5040"/>
            <w:tcMar>
              <w:top w:w="80" w:type="dxa"/>
              <w:bottom w:w="80" w:type="dxa"/>
              <w:left w:w="80" w:type="dxa"/>
              <w:right w:w="80" w:type="dxa"/>
            </w:tcMar>
          </w:tcPr>
          <w:p>
            <w:r>
              <w:rPr>
                <w:b/>
                <w:sz w:val="17"/>
              </w:rPr>
              <w:t>GLOBAL SOLUTION SERVICE COMPANY LIMITED</w:t>
              <w:br/>
            </w:r>
            <w:r>
              <w:rPr>
                <w:sz w:val="17"/>
              </w:rPr>
              <w:t>Address: 18th Floor, CEO Tower, Plot HH2-1, Me Tri Ha Urban Area, Pham Hung Road, Tu Liem Ward, Hanoi, Vietnam</w:t>
              <w:br/>
              <w:t>Tax code: 0109469047</w:t>
              <w:br/>
              <w:t>Tel: (+84) 966688525</w:t>
              <w:br/>
              <w:t>Email: trungnv.gss@gmail.com</w:t>
              <w:br/>
            </w:r>
            <w:r>
              <w:rPr>
                <w:b/>
                <w:sz w:val="17"/>
              </w:rPr>
              <w:t>Represented by: Mr. NGUYEN VAN TRUNG – Director</w:t>
            </w:r>
          </w:p>
        </w:tc>
        <w:tc>
          <w:tcPr>
            <w:tcW w:type="dxa" w:w="5040"/>
            <w:tcMar>
              <w:top w:w="80" w:type="dxa"/>
              <w:bottom w:w="80" w:type="dxa"/>
              <w:left w:w="80" w:type="dxa"/>
              <w:right w:w="80" w:type="dxa"/>
            </w:tcMar>
          </w:tcPr>
          <w:p>
            <w:r>
              <w:rPr>
                <w:b/>
                <w:sz w:val="17"/>
              </w:rPr>
              <w:t>DUANGMANEE IMPORT-EXPORT CO., LTD</w:t>
              <w:br/>
            </w:r>
            <w:r>
              <w:rPr>
                <w:sz w:val="17"/>
              </w:rPr>
              <w:t>Address: 1/18 Wongkhampan Road, Mueang Mukdahan District, Mukdahan Province 49000, Thailand</w:t>
              <w:br/>
              <w:t>Tax code: 0495562000281</w:t>
              <w:br/>
              <w:t>Tel: (+66) 619474964</w:t>
              <w:br/>
              <w:t>Email: duangmaanee4669@gmail.com</w:t>
              <w:br/>
            </w:r>
            <w:r>
              <w:rPr>
                <w:b/>
                <w:sz w:val="17"/>
              </w:rPr>
              <w:t>Represented by: Miss. PARINNDA BOONSRI – Director</w:t>
            </w:r>
          </w:p>
        </w:tc>
      </w:tr>
    </w:tbl>
    <w:p>
      <w:pPr>
        <w:keepNext/>
        <w:spacing w:before="160" w:after="40"/>
      </w:pPr>
      <w:r>
        <w:rPr>
          <w:b/>
          <w:color w:val="000000"/>
          <w:sz w:val="21"/>
        </w:rPr>
        <w:t>ĐIỀU 1. PHẠM VI VÀ MỤC ĐÍCH HỢP TÁC</w:t>
        <w:br/>
      </w:r>
      <w:r>
        <w:rPr>
          <w:b/>
          <w:color w:val="000000"/>
          <w:sz w:val="20"/>
        </w:rPr>
        <w:t>ARTICLE 1. SCOPE AND PURPOSE</w:t>
      </w:r>
    </w:p>
    <w:p>
      <w:pPr>
        <w:spacing w:before="40" w:after="80" w:line="276" w:lineRule="auto"/>
      </w:pPr>
      <w:r>
        <w:rPr>
          <w:sz w:val="19"/>
        </w:rPr>
        <w:t>1.1. Hợp đồng này là hợp đồng khung điều chỉnh các giao dịch mua bán hàng hóa quốc tế giữa Bên A và Bên B trong thời hạn Hợp đồng, áp dụng trực tiếp cho Đơn hàng số GSSDIX_FCA_269901 ngày 09/09/2026 theo Phụ lục Đặt hàng số 01 và các đơn hàng tiếp theo. Hàng hóa bao gồm thực phẩm, snack, đồ uống, hàng tiêu dùng do các Bên thống nhất bằng văn bản.</w:t>
        <w:br/>
      </w:r>
      <w:r>
        <w:rPr>
          <w:i/>
          <w:color w:val="000000"/>
          <w:sz w:val="18"/>
        </w:rPr>
        <w:t>1.1. This Agreement is a master framework governing international sale transactions between Party A and Party B during its term, applying directly to Order No. GSSDIX_FCA_269901 dated 09/09/2026 under Order Appendix No. 01 and subsequent orders. Goods include food products, snacks, beverages, consumer goods agreed by the Parties in writing.</w:t>
      </w:r>
    </w:p>
    <w:p>
      <w:pPr>
        <w:spacing w:before="40" w:after="80" w:line="276" w:lineRule="auto"/>
      </w:pPr>
      <w:r>
        <w:rPr>
          <w:sz w:val="19"/>
        </w:rPr>
        <w:t>1.2. Số lượng, chủng loại, quy cách, HS code, đơn giá, tổng giá trị, điều kiện giao hàng, địa điểm giao hàng, thời hạn giao hàng và điều kiện thanh toán của từng đơn hàng được quy định tại Phụ lục Đặt hàng tương ứng.</w:t>
        <w:br/>
      </w:r>
      <w:r>
        <w:rPr>
          <w:i/>
          <w:color w:val="000000"/>
          <w:sz w:val="18"/>
        </w:rPr>
        <w:t>1.2. The quantity, type, specifications, HS code, unit price, total value, delivery term, delivery place, delivery time and payment terms of each order shall be specified in the relevant Order Appendix.</w:t>
      </w:r>
    </w:p>
    <w:p>
      <w:pPr>
        <w:spacing w:before="40" w:after="80" w:line="276" w:lineRule="auto"/>
      </w:pPr>
      <w:r>
        <w:rPr>
          <w:sz w:val="19"/>
        </w:rPr>
        <w:t>1.3. Không có nghĩa vụ về số lượng tối thiểu hoặc cam kết doanh số, trừ khi được quy định rõ trong một Phụ lục Đặt hàng đã ký.</w:t>
        <w:br/>
      </w:r>
      <w:r>
        <w:rPr>
          <w:i/>
          <w:color w:val="000000"/>
          <w:sz w:val="18"/>
        </w:rPr>
        <w:t>1.3. No minimum purchase quantity or sales commitment shall apply unless expressly stated in a signed Order Appendix.</w:t>
      </w:r>
    </w:p>
    <w:p>
      <w:pPr>
        <w:keepNext/>
        <w:spacing w:before="160" w:after="40"/>
      </w:pPr>
      <w:r>
        <w:rPr>
          <w:b/>
          <w:color w:val="000000"/>
          <w:sz w:val="21"/>
        </w:rPr>
        <w:t>ĐIỀU 2. ĐẶT HÀNG VÀ PHỤ LỤC ĐẶT HÀNG</w:t>
        <w:br/>
      </w:r>
      <w:r>
        <w:rPr>
          <w:b/>
          <w:color w:val="000000"/>
          <w:sz w:val="20"/>
        </w:rPr>
        <w:t>ARTICLE 2. ORDERS AND ORDER APPENDICES</w:t>
      </w:r>
    </w:p>
    <w:p>
      <w:pPr>
        <w:spacing w:before="40" w:after="80" w:line="276" w:lineRule="auto"/>
      </w:pPr>
      <w:r>
        <w:rPr>
          <w:sz w:val="19"/>
        </w:rPr>
        <w:t>2.1. Mỗi đơn hàng được xác lập bằng một Phụ lục Đặt hàng có chữ ký hợp lệ của hai Bên hoặc bằng hình thức điện tử được hai Bên chấp thuận.</w:t>
        <w:br/>
      </w:r>
      <w:r>
        <w:rPr>
          <w:i/>
          <w:color w:val="000000"/>
          <w:sz w:val="18"/>
        </w:rPr>
        <w:t>2.1. Each order shall be established by an Order Appendix duly signed by both Parties or by an electronic form accepted by both Parties.</w:t>
      </w:r>
    </w:p>
    <w:p>
      <w:pPr>
        <w:spacing w:before="40" w:after="80" w:line="276" w:lineRule="auto"/>
      </w:pPr>
      <w:r>
        <w:rPr>
          <w:sz w:val="19"/>
        </w:rPr>
        <w:t>2.2. Phụ lục Đặt hàng là một phần không tách rời của Hợp đồng này. Các điều khoản riêng của Phụ lục Đặt hàng sẽ được ưu tiên áp dụng đối với các vấn đề chỉ áp dụng cho đơn hàng đó.</w:t>
        <w:br/>
      </w:r>
      <w:r>
        <w:rPr>
          <w:i/>
          <w:color w:val="000000"/>
          <w:sz w:val="18"/>
        </w:rPr>
        <w:t>2.2. Each Order Appendix forms an integral part of this Agreement. The specific terms of an Order Appendix shall prevail with respect to matters applicable only to that order.</w:t>
      </w:r>
    </w:p>
    <w:p>
      <w:pPr>
        <w:spacing w:before="40" w:after="80" w:line="276" w:lineRule="auto"/>
      </w:pPr>
      <w:r>
        <w:rPr>
          <w:sz w:val="19"/>
        </w:rPr>
        <w:t>2.3. Trường hợp Phụ lục Đặt hàng không quy định khác, các điều khoản của Hợp đồng này sẽ được áp dụng.</w:t>
        <w:br/>
      </w:r>
      <w:r>
        <w:rPr>
          <w:i/>
          <w:color w:val="000000"/>
          <w:sz w:val="18"/>
        </w:rPr>
        <w:t>2.3. Unless otherwise specified in an Order Appendix, the terms of this Agreement shall apply.</w:t>
      </w:r>
    </w:p>
    <w:p>
      <w:pPr>
        <w:keepNext/>
        <w:spacing w:before="160" w:after="40"/>
      </w:pPr>
      <w:r>
        <w:rPr>
          <w:b/>
          <w:color w:val="000000"/>
          <w:sz w:val="21"/>
        </w:rPr>
        <w:t>ĐIỀU 3. HÀNG HÓA, CHẤT LƯỢNG VÀ BAO BÌ</w:t>
        <w:br/>
      </w:r>
      <w:r>
        <w:rPr>
          <w:b/>
          <w:color w:val="000000"/>
          <w:sz w:val="20"/>
        </w:rPr>
        <w:t>ARTICLE 3. GOODS, QUALITY AND PACKING</w:t>
      </w:r>
    </w:p>
    <w:p>
      <w:pPr>
        <w:spacing w:before="40" w:after="80" w:line="276" w:lineRule="auto"/>
      </w:pPr>
      <w:r>
        <w:rPr>
          <w:sz w:val="19"/>
        </w:rPr>
        <w:t>3.1. Bên A bán cho Bên B hàng hóa thuộc quyền sở hữu hoặc quyền bán hợp pháp của Bên A và phù hợp với mô tả, quy cách và tài liệu đã được thống nhất trong Phụ lục Đặt hàng.</w:t>
        <w:br/>
      </w:r>
      <w:r>
        <w:rPr>
          <w:i/>
          <w:color w:val="000000"/>
          <w:sz w:val="18"/>
        </w:rPr>
        <w:t>3.1. Party A shall sell goods owned by Party A or lawfully available for sale by Party A and conforming to the descriptions, specifications and documents agreed in the relevant Order Appendix.</w:t>
      </w:r>
    </w:p>
    <w:p>
      <w:pPr>
        <w:spacing w:before="40" w:after="80" w:line="276" w:lineRule="auto"/>
      </w:pPr>
      <w:r>
        <w:rPr>
          <w:sz w:val="19"/>
        </w:rPr>
        <w:t>3.2. Hàng hóa phải là hàng mới, trong bao bì của nhà sản xuất, phù hợp với các yêu cầu pháp luật Việt Nam áp dụng đối với hàng hóa xuất khẩu.</w:t>
        <w:br/>
      </w:r>
      <w:r>
        <w:rPr>
          <w:i/>
          <w:color w:val="000000"/>
          <w:sz w:val="18"/>
        </w:rPr>
        <w:t>3.2. Goods shall be new, in the manufacturer's original packaging, and comply with applicable Vietnamese requirements for exported goods.</w:t>
      </w:r>
    </w:p>
    <w:p>
      <w:pPr>
        <w:spacing w:before="40" w:after="80" w:line="276" w:lineRule="auto"/>
      </w:pPr>
      <w:r>
        <w:rPr>
          <w:sz w:val="19"/>
        </w:rPr>
        <w:t>3.3. Quy định về hạn sử dụng, thời hạn sử dụng còn lại, nhãn, bao bì, trọng lượng và tiêu chuẩn chất lượng cụ thể sẽ được ghi tại Phụ lục Đặt hàng khi cần thiết.</w:t>
        <w:br/>
      </w:r>
      <w:r>
        <w:rPr>
          <w:i/>
          <w:color w:val="000000"/>
          <w:sz w:val="18"/>
        </w:rPr>
        <w:t>3.3. Specific requirements on shelf life, remaining shelf life, labeling, packing, weight and quality standards shall be stated in the relevant Order Appendix where applicable.</w:t>
      </w:r>
    </w:p>
    <w:p>
      <w:pPr>
        <w:keepNext/>
        <w:spacing w:before="160" w:after="40"/>
      </w:pPr>
      <w:r>
        <w:rPr>
          <w:b/>
          <w:color w:val="000000"/>
          <w:sz w:val="21"/>
        </w:rPr>
        <w:t>ĐIỀU 4. GIÁ VÀ ĐỒNG TIỀN</w:t>
        <w:br/>
      </w:r>
      <w:r>
        <w:rPr>
          <w:b/>
          <w:color w:val="000000"/>
          <w:sz w:val="20"/>
        </w:rPr>
        <w:t>ARTICLE 4. PRICE AND CURRENCY</w:t>
      </w:r>
    </w:p>
    <w:p>
      <w:pPr>
        <w:spacing w:before="40" w:after="80" w:line="276" w:lineRule="auto"/>
      </w:pPr>
      <w:r>
        <w:rPr>
          <w:sz w:val="19"/>
        </w:rPr>
        <w:t>4.1. Đồng tiền giao dịch mặc định là USD, trừ khi Phụ lục Đặt hàng quy định khác.</w:t>
        <w:br/>
      </w:r>
      <w:r>
        <w:rPr>
          <w:i/>
          <w:color w:val="000000"/>
          <w:sz w:val="18"/>
        </w:rPr>
        <w:t>4.1. The default transaction currency is USD unless otherwise specified in an Order Appendix.</w:t>
      </w:r>
    </w:p>
    <w:p>
      <w:pPr>
        <w:spacing w:before="40" w:after="80" w:line="276" w:lineRule="auto"/>
      </w:pPr>
      <w:r>
        <w:rPr>
          <w:sz w:val="19"/>
        </w:rPr>
        <w:t>4.2. Đơn giá và tổng giá trị của từng đơn hàng là giá được ghi trong Phụ lục Đặt hàng. Mức giá đã thỏa thuận được hiểu là giá áp dụng cho đúng điều kiện giao hàng và quy cách của đơn hàng đó.</w:t>
        <w:br/>
      </w:r>
      <w:r>
        <w:rPr>
          <w:i/>
          <w:color w:val="000000"/>
          <w:sz w:val="18"/>
        </w:rPr>
        <w:t>4.2. The unit price and total value of each order shall be those stated in the relevant Order Appendix. The agreed price shall apply to the delivery term and specifications stated for that order.</w:t>
      </w:r>
    </w:p>
    <w:p>
      <w:pPr>
        <w:keepNext/>
        <w:spacing w:before="160" w:after="40"/>
      </w:pPr>
      <w:r>
        <w:rPr>
          <w:b/>
          <w:color w:val="000000"/>
          <w:sz w:val="21"/>
        </w:rPr>
        <w:t>ĐIỀU 5. ĐIỀU KIỆN GIAO HÀNG VÀ CHUYỂN RỦI RO</w:t>
        <w:br/>
      </w:r>
      <w:r>
        <w:rPr>
          <w:b/>
          <w:color w:val="000000"/>
          <w:sz w:val="20"/>
        </w:rPr>
        <w:t>ARTICLE 5. DELIVERY TERMS AND TRANSFER OF RISK</w:t>
      </w:r>
    </w:p>
    <w:p>
      <w:pPr>
        <w:spacing w:before="40" w:after="80" w:line="276" w:lineRule="auto"/>
      </w:pPr>
      <w:r>
        <w:rPr>
          <w:sz w:val="19"/>
        </w:rPr>
        <w:t>5.1. Incoterms và địa điểm giao hàng của từng đơn hàng sẽ được quy định trong Phụ lục Đặt hàng. Incoterms 2020 được áp dụng nếu Phụ lục Đặt hàng dẫn chiếu đến Incoterms mà không quy định phiên bản khác.</w:t>
        <w:br/>
      </w:r>
      <w:r>
        <w:rPr>
          <w:i/>
          <w:color w:val="000000"/>
          <w:sz w:val="18"/>
        </w:rPr>
        <w:t>5.1. The Incoterm and delivery place for each order shall be specified in the relevant Order Appendix. Incoterms 2020 shall apply where an Incoterm is referenced without specifying another version.</w:t>
      </w:r>
    </w:p>
    <w:p>
      <w:pPr>
        <w:spacing w:before="40" w:after="80" w:line="276" w:lineRule="auto"/>
      </w:pPr>
      <w:r>
        <w:rPr>
          <w:sz w:val="19"/>
        </w:rPr>
        <w:t>5.2. Trách nhiệm, chi phí và thời điểm chuyển rủi ro được xác định theo Incoterm áp dụng và các thỏa thuận cụ thể tại Phụ lục Đặt hàng.</w:t>
        <w:br/>
      </w:r>
      <w:r>
        <w:rPr>
          <w:i/>
          <w:color w:val="000000"/>
          <w:sz w:val="18"/>
        </w:rPr>
        <w:t>5.2. Responsibilities, costs and the transfer of risk shall be determined by the applicable Incoterm and the specific terms of the relevant Order Appendix.</w:t>
      </w:r>
    </w:p>
    <w:p>
      <w:pPr>
        <w:spacing w:before="40" w:after="80" w:line="276" w:lineRule="auto"/>
      </w:pPr>
      <w:r>
        <w:rPr>
          <w:sz w:val="19"/>
        </w:rPr>
        <w:t>5.3. Đối với đơn hàng FCA tại Cửa khẩu Quốc tế Lao Bảo, Việt Nam, nếu Phụ lục Đặt hàng quy định, Bên A chịu trách nhiệm đưa hàng đến khu vực giao nhận được chỉ định và thực hiện thủ tục hải quan xuất khẩu; các chi phí và rủi ro sau điểm chuyển giao thuộc Bên B theo thỏa thuận.</w:t>
        <w:br/>
      </w:r>
      <w:r>
        <w:rPr>
          <w:i/>
          <w:color w:val="000000"/>
          <w:sz w:val="18"/>
        </w:rPr>
        <w:t>5.3. For an order using FCA Lao Bao International Border Checkpoint, Vietnam, where stated in the Order Appendix, Party A shall deliver the goods to the designated handover area and complete Vietnamese export customs procedures; costs and risks after the transfer point shall be borne by Party B as agreed.</w:t>
      </w:r>
    </w:p>
    <w:p>
      <w:pPr>
        <w:keepNext/>
        <w:spacing w:before="160" w:after="40"/>
      </w:pPr>
      <w:r>
        <w:rPr>
          <w:b/>
          <w:color w:val="000000"/>
          <w:sz w:val="21"/>
        </w:rPr>
        <w:t>ĐIỀU 6. THANH TOÁN</w:t>
        <w:br/>
      </w:r>
      <w:r>
        <w:rPr>
          <w:b/>
          <w:color w:val="000000"/>
          <w:sz w:val="20"/>
        </w:rPr>
        <w:t>ARTICLE 6. PAYMENT</w:t>
      </w:r>
    </w:p>
    <w:p>
      <w:pPr>
        <w:spacing w:before="40" w:after="80" w:line="276" w:lineRule="auto"/>
      </w:pPr>
      <w:r>
        <w:rPr>
          <w:sz w:val="19"/>
        </w:rPr>
        <w:t>6.1. Phương thức thanh toán mặc định là chuyển khoản T/T. Tỷ lệ và thời hạn thanh toán của từng đơn hàng được quy định trong Phụ lục Đặt hàng.</w:t>
        <w:br/>
      </w:r>
      <w:r>
        <w:rPr>
          <w:i/>
          <w:color w:val="000000"/>
          <w:sz w:val="18"/>
        </w:rPr>
        <w:t>6.1. The default payment method is T/T bank transfer. The payment percentage and due dates for each order shall be specified in the relevant Order Appendix.</w:t>
      </w:r>
    </w:p>
    <w:p>
      <w:pPr>
        <w:spacing w:before="40" w:after="80" w:line="276" w:lineRule="auto"/>
      </w:pPr>
      <w:r>
        <w:rPr>
          <w:sz w:val="19"/>
        </w:rPr>
        <w:t>6.2. Trừ khi Phụ lục Đặt hàng quy định khác, thanh toán phải được thực hiện vào đúng tài khoản ngân hàng đứng tên Bên A được nêu trong Hợp đồng hoặc Phụ lục Đặt hàng.</w:t>
        <w:br/>
      </w:r>
      <w:r>
        <w:rPr>
          <w:i/>
          <w:color w:val="000000"/>
          <w:sz w:val="18"/>
        </w:rPr>
        <w:t>6.2. Unless otherwise specified in an Order Appendix, payment shall be made only to the bank account in Party A's name stated in this Agreement or the Order Appendix.</w:t>
      </w:r>
    </w:p>
    <w:p>
      <w:pPr>
        <w:spacing w:before="40" w:after="80" w:line="276" w:lineRule="auto"/>
      </w:pPr>
      <w:r>
        <w:rPr>
          <w:sz w:val="19"/>
        </w:rPr>
        <w:t>6.3. Phí ngân hàng bên ngoài Việt Nam và phí ngân hàng trung gian liên quan đến khoản thanh toán của Bên B do Bên B chịu theo điều kiện OUR, trừ khi có thỏa thuận khác.</w:t>
        <w:br/>
      </w:r>
      <w:r>
        <w:rPr>
          <w:i/>
          <w:color w:val="000000"/>
          <w:sz w:val="18"/>
        </w:rPr>
        <w:t>6.3. Overseas bank charges and intermediary bank charges relating to Party B's payment shall be borne by Party B on an OUR basis unless otherwise agreed.</w:t>
      </w:r>
    </w:p>
    <w:p>
      <w:pPr>
        <w:spacing w:before="40" w:after="80" w:line="276" w:lineRule="auto"/>
      </w:pPr>
      <w:r>
        <w:rPr>
          <w:sz w:val="19"/>
        </w:rPr>
        <w:t>6.4. Thay đổi thông tin tài khoản ngân hàng chỉ có hiệu lực khi được thông báo bằng văn bản và được xác nhận theo cơ chế xác minh do hai Bên thống nhất; email đơn phương không đủ để tự động thay đổi tài khoản nhận tiền.</w:t>
        <w:br/>
      </w:r>
      <w:r>
        <w:rPr>
          <w:i/>
          <w:color w:val="000000"/>
          <w:sz w:val="18"/>
        </w:rPr>
        <w:t>6.4. A change of bank account information shall be effective only after written notice and confirmation through the verification mechanism agreed by the Parties; a unilateral email shall not automatically change the receiving account.</w:t>
      </w:r>
    </w:p>
    <w:p>
      <w:pPr>
        <w:keepNext/>
        <w:spacing w:before="160" w:after="40"/>
      </w:pPr>
      <w:r>
        <w:rPr>
          <w:b/>
          <w:color w:val="000000"/>
          <w:sz w:val="21"/>
        </w:rPr>
        <w:t>ĐIỀU 7. THUẾ, HẢI QUAN VÀ CHỨNG TỪ</w:t>
        <w:br/>
      </w:r>
      <w:r>
        <w:rPr>
          <w:b/>
          <w:color w:val="000000"/>
          <w:sz w:val="20"/>
        </w:rPr>
        <w:t>ARTICLE 7. TAXES, CUSTOMS AND DOCUMENTS</w:t>
      </w:r>
    </w:p>
    <w:p>
      <w:pPr>
        <w:spacing w:before="40" w:after="80" w:line="276" w:lineRule="auto"/>
      </w:pPr>
      <w:r>
        <w:rPr>
          <w:sz w:val="19"/>
        </w:rPr>
        <w:t>7.1. Thuế GTGT và các loại thuế, phí tại Việt Nam được áp dụng theo pháp luật Việt Nam tại thời điểm phát sinh giao dịch. Trường hợp hàng hóa đáp ứng điều kiện áp dụng thuế suất GTGT 0%, Bên A lập chứng từ/hóa đơn theo quy định pháp luật.</w:t>
        <w:br/>
      </w:r>
      <w:r>
        <w:rPr>
          <w:i/>
          <w:color w:val="000000"/>
          <w:sz w:val="18"/>
        </w:rPr>
        <w:t>7.1. VAT and other taxes and charges in Vietnam shall be applied in accordance with Vietnamese law in force at the time of the transaction. Where the goods qualify for a 0% VAT rate, Party A shall issue the relevant invoice/documents in accordance with law.</w:t>
      </w:r>
    </w:p>
    <w:p>
      <w:pPr>
        <w:spacing w:before="40" w:after="80" w:line="276" w:lineRule="auto"/>
      </w:pPr>
      <w:r>
        <w:rPr>
          <w:sz w:val="19"/>
        </w:rPr>
        <w:t>7.2. Thuế nhập khẩu, thuế nội địa, phí và thủ tục tại nước quá cảnh và nước nhập khẩu do Bên B chịu, trừ khi Phụ lục Đặt hàng quy định khác.</w:t>
        <w:br/>
      </w:r>
      <w:r>
        <w:rPr>
          <w:i/>
          <w:color w:val="000000"/>
          <w:sz w:val="18"/>
        </w:rPr>
        <w:t>7.2. Import duties, domestic taxes, charges and procedures in transit and importing countries shall be borne by Party B unless otherwise specified in an Order Appendix.</w:t>
      </w:r>
    </w:p>
    <w:p>
      <w:pPr>
        <w:spacing w:before="40" w:after="80" w:line="276" w:lineRule="auto"/>
      </w:pPr>
      <w:r>
        <w:rPr>
          <w:sz w:val="19"/>
        </w:rPr>
        <w:t>7.3. Bộ chứng từ của từng đơn hàng được xác định trong Phụ lục Đặt hàng và có thể bao gồm Commercial Invoice, Packing List, tờ khai hải quan xuất khẩu, C/O, biên bản giao nhận và các chứng từ khác theo yêu cầu hợp pháp.</w:t>
        <w:br/>
      </w:r>
      <w:r>
        <w:rPr>
          <w:i/>
          <w:color w:val="000000"/>
          <w:sz w:val="18"/>
        </w:rPr>
        <w:t>7.3. The document set for each order shall be specified in the Order Appendix and may include the Commercial Invoice, Packing List, export customs declaration, C/O, Handover Minutes and other legally required documents.</w:t>
      </w:r>
    </w:p>
    <w:p>
      <w:pPr>
        <w:spacing w:before="40" w:after="80" w:line="276" w:lineRule="auto"/>
      </w:pPr>
      <w:r>
        <w:rPr>
          <w:sz w:val="19"/>
        </w:rPr>
        <w:t>7.4. Các Bên có trách nhiệm phối hợp cung cấp chứng từ hợp lý cần thiết cho việc kiểm tra thuế, hải quan và chứng minh giao dịch xuất khẩu. Thời hạn lưu giữ chứng từ thực hiện theo pháp luật áp dụng.</w:t>
        <w:br/>
      </w:r>
      <w:r>
        <w:rPr>
          <w:i/>
          <w:color w:val="000000"/>
          <w:sz w:val="18"/>
        </w:rPr>
        <w:t>7.4. The Parties shall reasonably cooperate in providing documents required for tax and customs inspection and to evidence the export transaction. Document retention shall comply with applicable law.</w:t>
      </w:r>
    </w:p>
    <w:p>
      <w:pPr>
        <w:keepNext/>
        <w:spacing w:before="160" w:after="40"/>
      </w:pPr>
      <w:r>
        <w:rPr>
          <w:b/>
          <w:color w:val="000000"/>
          <w:sz w:val="21"/>
        </w:rPr>
        <w:t>ĐIỀU 8. BẢO HIỂM</w:t>
        <w:br/>
      </w:r>
      <w:r>
        <w:rPr>
          <w:b/>
          <w:color w:val="000000"/>
          <w:sz w:val="20"/>
        </w:rPr>
        <w:t>ARTICLE 8. INSURANCE</w:t>
      </w:r>
    </w:p>
    <w:p>
      <w:pPr>
        <w:spacing w:before="40" w:after="80" w:line="276" w:lineRule="auto"/>
      </w:pPr>
      <w:r>
        <w:rPr>
          <w:sz w:val="19"/>
        </w:rPr>
        <w:t>8.1. Trách nhiệm mua bảo hiểm được xác định theo Incoterm và Phụ lục Đặt hàng. Nếu một Bên có nghĩa vụ mua bảo hiểm thì mức bảo hiểm tối thiểu và phạm vi bảo hiểm sẽ được nêu trong Phụ lục Đặt hàng.</w:t>
        <w:br/>
      </w:r>
      <w:r>
        <w:rPr>
          <w:i/>
          <w:color w:val="000000"/>
          <w:sz w:val="18"/>
        </w:rPr>
        <w:t>8.1. Insurance responsibilities shall be determined by the applicable Incoterm and Order Appendix. Where a Party is required to obtain insurance, the minimum insured value and scope shall be stated in the Order Appendix.</w:t>
      </w:r>
    </w:p>
    <w:p>
      <w:pPr>
        <w:keepNext/>
        <w:spacing w:before="160" w:after="40"/>
      </w:pPr>
      <w:r>
        <w:rPr>
          <w:b/>
          <w:color w:val="000000"/>
          <w:sz w:val="21"/>
        </w:rPr>
        <w:t>ĐIỀU 9. KIỂM TRA VÀ KHIẾU NẠI</w:t>
        <w:br/>
      </w:r>
      <w:r>
        <w:rPr>
          <w:b/>
          <w:color w:val="000000"/>
          <w:sz w:val="20"/>
        </w:rPr>
        <w:t>ARTICLE 9. INSPECTION AND CLAIMS</w:t>
      </w:r>
    </w:p>
    <w:p>
      <w:pPr>
        <w:spacing w:before="40" w:after="80" w:line="276" w:lineRule="auto"/>
      </w:pPr>
      <w:r>
        <w:rPr>
          <w:sz w:val="19"/>
        </w:rPr>
        <w:t>9.1. Bên B hoặc đại diện được ủy quyền có trách nhiệm kiểm tra số lượng và tình trạng bên ngoài của hàng hóa tại thời điểm giao nhận nếu điều kiện giao hàng cho phép.</w:t>
        <w:br/>
      </w:r>
      <w:r>
        <w:rPr>
          <w:i/>
          <w:color w:val="000000"/>
          <w:sz w:val="18"/>
        </w:rPr>
        <w:t>9.1. Party B or its authorized representative shall inspect quantity and external condition of the goods at handover where the delivery arrangement permits.</w:t>
      </w:r>
    </w:p>
    <w:p>
      <w:pPr>
        <w:spacing w:before="40" w:after="80" w:line="276" w:lineRule="auto"/>
      </w:pPr>
      <w:r>
        <w:rPr>
          <w:sz w:val="19"/>
        </w:rPr>
        <w:t>9.2. Khiếu nại về số lượng và bao bì bên ngoài phải được ghi nhận tại biên bản giao nhận hoặc thông báo bằng văn bản trong thời hạn quy định tại Phụ lục Đặt hàng.</w:t>
        <w:br/>
      </w:r>
      <w:r>
        <w:rPr>
          <w:i/>
          <w:color w:val="000000"/>
          <w:sz w:val="18"/>
        </w:rPr>
        <w:t>9.2. Claims concerning quantity and external packaging shall be recorded in the Handover Minutes or notified in writing within the period specified in the Order Appendix.</w:t>
      </w:r>
    </w:p>
    <w:p>
      <w:pPr>
        <w:spacing w:before="40" w:after="80" w:line="276" w:lineRule="auto"/>
      </w:pPr>
      <w:r>
        <w:rPr>
          <w:sz w:val="19"/>
        </w:rPr>
        <w:t>9.3. Khiếu nại về chất lượng bên trong phải kèm bằng chứng hợp lý. Biện pháp khắc phục có thể là thay thế phần hàng không phù hợp hoặc hoàn trả giá trị phần hàng không phù hợp, tùy theo thỏa thuận/điều kiện của đơn hàng.</w:t>
        <w:br/>
      </w:r>
      <w:r>
        <w:rPr>
          <w:i/>
          <w:color w:val="000000"/>
          <w:sz w:val="18"/>
        </w:rPr>
        <w:t>9.3. Claims concerning internal quality shall be supported by reasonable evidence. The remedy may be replacement of the non-conforming portion or refund of its value, subject to the agreed terms of the relevant order.</w:t>
      </w:r>
    </w:p>
    <w:p>
      <w:pPr>
        <w:keepNext/>
        <w:spacing w:before="160" w:after="40"/>
      </w:pPr>
      <w:r>
        <w:rPr>
          <w:b/>
          <w:color w:val="000000"/>
          <w:sz w:val="21"/>
        </w:rPr>
        <w:t>ĐIỀU 10. BẤT KHẢ KHÁNG</w:t>
        <w:br/>
      </w:r>
      <w:r>
        <w:rPr>
          <w:b/>
          <w:color w:val="000000"/>
          <w:sz w:val="20"/>
        </w:rPr>
        <w:t>ARTICLE 10. FORCE MAJEURE</w:t>
      </w:r>
    </w:p>
    <w:p>
      <w:pPr>
        <w:spacing w:before="40" w:after="80" w:line="276" w:lineRule="auto"/>
      </w:pPr>
      <w:r>
        <w:rPr>
          <w:sz w:val="19"/>
        </w:rPr>
        <w:t>10.1. Không Bên nào chịu trách nhiệm đối với việc chậm hoặc không thực hiện nghĩa vụ do sự kiện bất khả kháng ngoài khả năng kiểm soát hợp lý, bao gồm thiên tai, chiến tranh, dịch bệnh, đình công, đóng cửa hoặc hạn chế cửa khẩu, thay đổi chính sách của cơ quan nhà nước và các sự kiện tương tự.</w:t>
        <w:br/>
      </w:r>
      <w:r>
        <w:rPr>
          <w:i/>
          <w:color w:val="000000"/>
          <w:sz w:val="18"/>
        </w:rPr>
        <w:t>10.1. Neither Party shall be liable for delay or failure to perform due to a force majeure event beyond its reasonable control, including natural disasters, war, epidemics, strikes, closure or restriction of border checkpoints, changes in governmental policy and similar events.</w:t>
      </w:r>
    </w:p>
    <w:p>
      <w:pPr>
        <w:spacing w:before="40" w:after="80" w:line="276" w:lineRule="auto"/>
      </w:pPr>
      <w:r>
        <w:rPr>
          <w:sz w:val="19"/>
        </w:rPr>
        <w:t>10.2. Bên bị ảnh hưởng phải thông báo cho Bên kia trong thời gian hợp lý và cung cấp tài liệu chứng minh khi có thể.</w:t>
        <w:br/>
      </w:r>
      <w:r>
        <w:rPr>
          <w:i/>
          <w:color w:val="000000"/>
          <w:sz w:val="18"/>
        </w:rPr>
        <w:t>10.2. The affected Party shall notify the other Party within a reasonable time and provide supporting evidence where available.</w:t>
      </w:r>
    </w:p>
    <w:p>
      <w:pPr>
        <w:keepNext/>
        <w:spacing w:before="160" w:after="40"/>
      </w:pPr>
      <w:r>
        <w:rPr>
          <w:b/>
          <w:color w:val="000000"/>
          <w:sz w:val="21"/>
        </w:rPr>
        <w:t>ĐIỀU 11. VI PHẠM, PHẠT VÀ GIỚI HẠN TRÁCH NHIỆM</w:t>
        <w:br/>
      </w:r>
      <w:r>
        <w:rPr>
          <w:b/>
          <w:color w:val="000000"/>
          <w:sz w:val="20"/>
        </w:rPr>
        <w:t>ARTICLE 11. BREACH, PENALTY AND LIMITATION OF LIABILITY</w:t>
      </w:r>
    </w:p>
    <w:p>
      <w:pPr>
        <w:spacing w:before="40" w:after="80" w:line="276" w:lineRule="auto"/>
      </w:pPr>
      <w:r>
        <w:rPr>
          <w:sz w:val="19"/>
        </w:rPr>
        <w:t>11.1. Mức phạt vi phạm, nếu có, áp dụng theo pháp luật Việt Nam và được quy định cụ thể trong Phụ lục Đặt hàng hoặc thỏa thuận liên quan, nhưng không vượt quá giới hạn pháp luật bắt buộc áp dụng.</w:t>
        <w:br/>
      </w:r>
      <w:r>
        <w:rPr>
          <w:i/>
          <w:color w:val="000000"/>
          <w:sz w:val="18"/>
        </w:rPr>
        <w:t>11.1. Any contractual penalty shall be applied in accordance with Vietnamese law and specified in the relevant Order Appendix or agreement, but shall not exceed any mandatory statutory limit.</w:t>
      </w:r>
    </w:p>
    <w:p>
      <w:pPr>
        <w:spacing w:before="40" w:after="80" w:line="276" w:lineRule="auto"/>
      </w:pPr>
      <w:r>
        <w:rPr>
          <w:sz w:val="19"/>
        </w:rPr>
        <w:t>11.2. Bên vi phạm phải bồi thường thiệt hại thực tế, trực tiếp và có chứng cứ trong phạm vi pháp luật cho phép và theo giới hạn trách nhiệm đã thỏa thuận.</w:t>
        <w:br/>
      </w:r>
      <w:r>
        <w:rPr>
          <w:i/>
          <w:color w:val="000000"/>
          <w:sz w:val="18"/>
        </w:rPr>
        <w:t>11.2. The breaching Party shall compensate actual, direct and evidenced damages to the extent permitted by law and subject to any agreed liability cap.</w:t>
      </w:r>
    </w:p>
    <w:p>
      <w:pPr>
        <w:spacing w:before="40" w:after="80" w:line="276" w:lineRule="auto"/>
      </w:pPr>
      <w:r>
        <w:rPr>
          <w:sz w:val="19"/>
        </w:rPr>
        <w:t>11.3. Trừ khi pháp luật bắt buộc quy định khác hoặc Phụ lục Đặt hàng quy định khác, không Bên nào chịu trách nhiệm về thiệt hại gián tiếp, lợi nhuận kỳ vọng bị mất hoặc cơ hội kinh doanh bị mất.</w:t>
        <w:br/>
      </w:r>
      <w:r>
        <w:rPr>
          <w:i/>
          <w:color w:val="000000"/>
          <w:sz w:val="18"/>
        </w:rPr>
        <w:t>11.3. Unless mandatory law provides otherwise or an Order Appendix provides otherwise, neither Party shall be liable for indirect damages, loss of anticipated profit or loss of business opportunity.</w:t>
      </w:r>
    </w:p>
    <w:p>
      <w:pPr>
        <w:keepNext/>
        <w:spacing w:before="160" w:after="40"/>
      </w:pPr>
      <w:r>
        <w:rPr>
          <w:b/>
          <w:color w:val="000000"/>
          <w:sz w:val="21"/>
        </w:rPr>
        <w:t>ĐIỀU 12. LUẬT ÁP DỤNG VÀ GIẢI QUYẾT TRANH CHẤP</w:t>
        <w:br/>
      </w:r>
      <w:r>
        <w:rPr>
          <w:b/>
          <w:color w:val="000000"/>
          <w:sz w:val="20"/>
        </w:rPr>
        <w:t>ARTICLE 12. GOVERNING LAW AND DISPUTE RESOLUTION</w:t>
      </w:r>
    </w:p>
    <w:p>
      <w:pPr>
        <w:spacing w:before="40" w:after="80" w:line="276" w:lineRule="auto"/>
      </w:pPr>
      <w:r>
        <w:rPr>
          <w:sz w:val="19"/>
        </w:rPr>
        <w:t>12.1. Hợp đồng này và từng Phụ lục Đặt hàng được điều chỉnh bởi pháp luật Việt Nam, trừ khi các Bên có thỏa thuận hợp pháp khác.</w:t>
        <w:br/>
      </w:r>
      <w:r>
        <w:rPr>
          <w:i/>
          <w:color w:val="000000"/>
          <w:sz w:val="18"/>
        </w:rPr>
        <w:t>12.1. This Agreement and each Order Appendix shall be governed by Vietnamese law unless the Parties lawfully agree otherwise.</w:t>
      </w:r>
    </w:p>
    <w:p>
      <w:pPr>
        <w:spacing w:before="40" w:after="80" w:line="276" w:lineRule="auto"/>
      </w:pPr>
      <w:r>
        <w:rPr>
          <w:sz w:val="19"/>
        </w:rPr>
        <w:t>12.2. Tranh chấp trước hết được giải quyết bằng thương lượng thiện chí. Nếu không giải quyết được trong vòng 30 ngày kể từ ngày một Bên thông báo tranh chấp, tranh chấp được đưa ra Trung tâm Trọng tài Quốc tế Việt Nam (VIAC) tại Hà Nội theo Quy tắc tố tụng của VIAC.</w:t>
        <w:br/>
      </w:r>
      <w:r>
        <w:rPr>
          <w:i/>
          <w:color w:val="000000"/>
          <w:sz w:val="18"/>
        </w:rPr>
        <w:t>12.2. Any dispute shall first be settled through good-faith negotiation. If unresolved within 30 days from the date one Party gives notice of the dispute, the dispute shall be referred to the Vietnam International Arbitration Centre (VIAC) in Hanoi under the VIAC Rules.</w:t>
      </w:r>
    </w:p>
    <w:p>
      <w:pPr>
        <w:spacing w:before="40" w:after="80" w:line="276" w:lineRule="auto"/>
      </w:pPr>
      <w:r>
        <w:rPr>
          <w:sz w:val="19"/>
        </w:rPr>
        <w:t>12.3. Ngôn ngữ trọng tài là tiếng Anh. Phán quyết trọng tài là chung thẩm và ràng buộc các Bên.</w:t>
        <w:br/>
      </w:r>
      <w:r>
        <w:rPr>
          <w:i/>
          <w:color w:val="000000"/>
          <w:sz w:val="18"/>
        </w:rPr>
        <w:t>12.3. The language of arbitration shall be English. The arbitral award shall be final and binding upon the Parties.</w:t>
      </w:r>
    </w:p>
    <w:p>
      <w:pPr>
        <w:keepNext/>
        <w:spacing w:before="160" w:after="40"/>
      </w:pPr>
      <w:r>
        <w:rPr>
          <w:b/>
          <w:color w:val="000000"/>
          <w:sz w:val="21"/>
        </w:rPr>
        <w:t>ĐIỀU 13. THỜI HẠN, SỬA ĐỔI VÀ CHUYỂN NHƯỢNG</w:t>
        <w:br/>
      </w:r>
      <w:r>
        <w:rPr>
          <w:b/>
          <w:color w:val="000000"/>
          <w:sz w:val="20"/>
        </w:rPr>
        <w:t>ARTICLE 13. TERM, AMENDMENTS AND ASSIGNMENT</w:t>
      </w:r>
    </w:p>
    <w:p>
      <w:pPr>
        <w:spacing w:before="40" w:after="80" w:line="276" w:lineRule="auto"/>
      </w:pPr>
      <w:r>
        <w:rPr>
          <w:sz w:val="19"/>
        </w:rPr>
        <w:t>13.1. Hợp đồng có hiệu lực từ ngày ký và có thời hạn 03 năm, trừ khi chấm dứt sớm theo Hợp đồng. Hợp đồng tự động gia hạn từng 01 năm nếu không Bên nào thông báo chấm dứt bằng văn bản ít nhất 30 ngày trước ngày hết hạn.</w:t>
        <w:br/>
      </w:r>
      <w:r>
        <w:rPr>
          <w:i/>
          <w:color w:val="000000"/>
          <w:sz w:val="18"/>
        </w:rPr>
        <w:t>13.1. This Agreement takes effect on the signing date and remains valid for 3 years unless earlier terminated. It shall automatically renew for successive 1-year periods unless either Party gives written notice of termination at least 30 days before expiry.</w:t>
      </w:r>
    </w:p>
    <w:p>
      <w:pPr>
        <w:spacing w:before="40" w:after="80" w:line="276" w:lineRule="auto"/>
      </w:pPr>
      <w:r>
        <w:rPr>
          <w:sz w:val="19"/>
        </w:rPr>
        <w:t>13.2. Việc chấm dứt Hợp đồng khung không làm mất hiệu lực của các Phụ lục Đặt hàng đã được ký, trừ khi các Bên có thỏa thuận khác.</w:t>
        <w:br/>
      </w:r>
      <w:r>
        <w:rPr>
          <w:i/>
          <w:color w:val="000000"/>
          <w:sz w:val="18"/>
        </w:rPr>
        <w:t>13.2. Termination of the Master Agreement shall not affect the validity of signed Order Appendices unless otherwise agreed by the Parties.</w:t>
      </w:r>
    </w:p>
    <w:p>
      <w:pPr>
        <w:spacing w:before="40" w:after="80" w:line="276" w:lineRule="auto"/>
      </w:pPr>
      <w:r>
        <w:rPr>
          <w:sz w:val="19"/>
        </w:rPr>
        <w:t>13.3. Mọi sửa đổi, bổ sung Hợp đồng phải được lập thành văn bản và có chữ ký hợp lệ của hai Bên.</w:t>
        <w:br/>
      </w:r>
      <w:r>
        <w:rPr>
          <w:i/>
          <w:color w:val="000000"/>
          <w:sz w:val="18"/>
        </w:rPr>
        <w:t>13.3. Any amendment or supplement to this Agreement must be made in writing and duly signed by both Parties.</w:t>
      </w:r>
    </w:p>
    <w:p>
      <w:pPr>
        <w:spacing w:before="40" w:after="80" w:line="276" w:lineRule="auto"/>
      </w:pPr>
      <w:r>
        <w:rPr>
          <w:sz w:val="19"/>
        </w:rPr>
        <w:t>13.4. Không Bên nào được chuyển nhượng quyền và nghĩa vụ theo Hợp đồng cho bên thứ ba nếu không có sự đồng ý trước bằng văn bản của Bên kia, trừ trường hợp pháp luật bắt buộc cho phép khác.</w:t>
        <w:br/>
      </w:r>
      <w:r>
        <w:rPr>
          <w:i/>
          <w:color w:val="000000"/>
          <w:sz w:val="18"/>
        </w:rPr>
        <w:t>13.4. Neither Party may assign its rights or obligations under this Agreement to a third party without the other Party's prior written consent, except where otherwise permitted by mandatory law.</w:t>
      </w:r>
    </w:p>
    <w:p>
      <w:pPr>
        <w:keepNext/>
        <w:spacing w:before="160" w:after="40"/>
      </w:pPr>
      <w:r>
        <w:rPr>
          <w:b/>
          <w:color w:val="000000"/>
          <w:sz w:val="21"/>
        </w:rPr>
        <w:t>ĐIỀU 14. THÔNG BÁO VÀ GIAO DỊCH ĐIỆN TỬ</w:t>
        <w:br/>
      </w:r>
      <w:r>
        <w:rPr>
          <w:b/>
          <w:color w:val="000000"/>
          <w:sz w:val="20"/>
        </w:rPr>
        <w:t>ARTICLE 14. NOTICES AND ELECTRONIC TRANSACTIONS</w:t>
      </w:r>
    </w:p>
    <w:p>
      <w:pPr>
        <w:spacing w:before="40" w:after="80" w:line="276" w:lineRule="auto"/>
      </w:pPr>
      <w:r>
        <w:rPr>
          <w:sz w:val="19"/>
        </w:rPr>
        <w:t>14.1. Thông báo theo Hợp đồng được gửi bằng văn bản tới email đã đăng ký của các Bên hoặc địa chỉ khác được thông báo hợp lệ.</w:t>
        <w:br/>
      </w:r>
      <w:r>
        <w:rPr>
          <w:i/>
          <w:color w:val="000000"/>
          <w:sz w:val="18"/>
        </w:rPr>
        <w:t>14.1. Notices under this Agreement shall be sent in writing to the Parties' registered email addresses or other duly notified addresses.</w:t>
      </w:r>
    </w:p>
    <w:p>
      <w:pPr>
        <w:spacing w:before="40" w:after="80" w:line="276" w:lineRule="auto"/>
      </w:pPr>
      <w:r>
        <w:rPr>
          <w:sz w:val="19"/>
        </w:rPr>
        <w:t>14.2. Bản scan, chữ ký điện tử hoặc bản điện tử có thể được sử dụng nếu phù hợp pháp luật áp dụng và được hai Bên chấp nhận.</w:t>
        <w:br/>
      </w:r>
      <w:r>
        <w:rPr>
          <w:i/>
          <w:color w:val="000000"/>
          <w:sz w:val="18"/>
        </w:rPr>
        <w:t>14.2. Scanned copies, electronic signatures or electronic documents may be used where permitted by applicable law and accepted by both Parties.</w:t>
      </w:r>
    </w:p>
    <w:p>
      <w:pPr>
        <w:keepNext/>
        <w:spacing w:before="160" w:after="40"/>
      </w:pPr>
      <w:r>
        <w:rPr>
          <w:b/>
          <w:color w:val="000000"/>
          <w:sz w:val="21"/>
        </w:rPr>
        <w:t>ĐIỀU 15. NGUYÊN TẮC GIAO DỊCH</w:t>
        <w:br/>
      </w:r>
      <w:r>
        <w:rPr>
          <w:b/>
          <w:color w:val="000000"/>
          <w:sz w:val="20"/>
        </w:rPr>
        <w:t>ARTICLE 15. NATURE OF TRANSACTIONS</w:t>
      </w:r>
    </w:p>
    <w:p>
      <w:pPr>
        <w:spacing w:before="40" w:after="80" w:line="276" w:lineRule="auto"/>
      </w:pPr>
      <w:r>
        <w:rPr>
          <w:sz w:val="19"/>
        </w:rPr>
        <w:t>15.1. Mỗi giao dịch theo Hợp đồng là giao dịch mua bán hàng hóa. Bên A bán hàng hóa của mình hoặc hàng hóa mà Bên A có quyền bán hợp pháp; đây không phải là giao dịch đại lý, môi giới, gia công hoặc ủy thác xuất khẩu, trừ khi một Phụ lục riêng quy định rõ.</w:t>
        <w:br/>
      </w:r>
      <w:r>
        <w:rPr>
          <w:i/>
          <w:color w:val="000000"/>
          <w:sz w:val="18"/>
        </w:rPr>
        <w:t>15.1. Each transaction under this Agreement is a sale of goods. Party A sells its own goods or goods lawfully available for sale by Party A; it is not an agency, brokerage, processing or entrusted-export arrangement unless expressly stated in a separate appendix.</w:t>
      </w:r>
    </w:p>
    <w:p>
      <w:pPr>
        <w:spacing w:before="40" w:after="80" w:line="276" w:lineRule="auto"/>
      </w:pPr>
      <w:r>
        <w:rPr>
          <w:sz w:val="19"/>
        </w:rPr>
        <w:t>15.2. Nhà cung cấp nội địa của Bên A, nếu có, không phải là một bên của giao dịch giữa Bên A và Bên B. Bên B không có quan hệ hợp đồng trực tiếp với nhà cung cấp đó.</w:t>
        <w:br/>
      </w:r>
      <w:r>
        <w:rPr>
          <w:i/>
          <w:color w:val="000000"/>
          <w:sz w:val="18"/>
        </w:rPr>
        <w:t>15.2. Any domestic supplier of Party A is not a party to the transaction between Party A and Party B. Party B has no direct contractual relationship with such supplier.</w:t>
      </w:r>
    </w:p>
    <w:p>
      <w:pPr>
        <w:keepNext/>
        <w:spacing w:before="160" w:after="40"/>
      </w:pPr>
      <w:r>
        <w:rPr>
          <w:b/>
          <w:color w:val="000000"/>
          <w:sz w:val="21"/>
        </w:rPr>
        <w:t>ĐIỀU 16. NGÔN NGỮ VÀ THỨ TỰ ƯU TIÊN</w:t>
        <w:br/>
      </w:r>
      <w:r>
        <w:rPr>
          <w:b/>
          <w:color w:val="000000"/>
          <w:sz w:val="20"/>
        </w:rPr>
        <w:t>ARTICLE 16. LANGUAGE AND ORDER OF PRECEDENCE</w:t>
      </w:r>
    </w:p>
    <w:p>
      <w:pPr>
        <w:spacing w:before="40" w:after="80" w:line="276" w:lineRule="auto"/>
      </w:pPr>
      <w:r>
        <w:rPr>
          <w:sz w:val="19"/>
        </w:rPr>
        <w:t>16.1. Hợp đồng này và các Phụ lục Đặt hàng được lập bằng tiếng Việt và tiếng Anh.</w:t>
        <w:br/>
      </w:r>
      <w:r>
        <w:rPr>
          <w:i/>
          <w:color w:val="000000"/>
          <w:sz w:val="18"/>
        </w:rPr>
        <w:t>16.1. This Agreement and the Order Appendices shall be executed in Vietnamese and English.</w:t>
      </w:r>
    </w:p>
    <w:p>
      <w:pPr>
        <w:spacing w:before="40" w:after="80" w:line="276" w:lineRule="auto"/>
      </w:pPr>
      <w:r>
        <w:rPr>
          <w:sz w:val="19"/>
        </w:rPr>
        <w:t>16.2. Hai phiên bản có giá trị tham chiếu như nhau. Trong trường hợp có khác biệt về diễn giải liên quan đến giao dịch quốc tế hoặc tố tụng trọng tài, phiên bản tiếng Anh được ưu tiên áp dụng, trừ khi Phụ lục Đặt hàng quy định khác.</w:t>
        <w:br/>
      </w:r>
      <w:r>
        <w:rPr>
          <w:i/>
          <w:color w:val="000000"/>
          <w:sz w:val="18"/>
        </w:rPr>
        <w:t>16.2. Both versions are intended to have corresponding meaning. In case of discrepancy in interpretation relating to the international transaction or arbitration proceedings, the English version shall prevail unless otherwise specified in the relevant Order Appendix.</w:t>
      </w:r>
    </w:p>
    <w:p>
      <w:pPr>
        <w:spacing w:before="40" w:after="80" w:line="276" w:lineRule="auto"/>
      </w:pPr>
      <w:r>
        <w:rPr>
          <w:sz w:val="19"/>
        </w:rPr>
        <w:t>16.3. Thứ tự ưu tiên tài liệu: (i) Phụ lục Đặt hàng đối với vấn đề riêng của đơn hàng; (ii) Hợp đồng khung; (iii) các chứng từ thương mại khác, trừ khi văn bản đó expressly sửa đổi một điều khoản cụ thể.</w:t>
        <w:br/>
      </w:r>
      <w:r>
        <w:rPr>
          <w:i/>
          <w:color w:val="000000"/>
          <w:sz w:val="18"/>
        </w:rPr>
        <w:t>16.3. Order of precedence: (i) the Order Appendix for order-specific matters; (ii) this Master Agreement; and (iii) other commercial documents, unless such document expressly amends a specific contractual term.</w:t>
      </w:r>
    </w:p>
    <w:p>
      <w:pPr>
        <w:keepNext/>
        <w:spacing w:before="160" w:after="40"/>
      </w:pPr>
      <w:r>
        <w:rPr>
          <w:b/>
          <w:color w:val="000000"/>
          <w:sz w:val="21"/>
        </w:rPr>
        <w:t>ĐIỀU 17. ĐIỀU KHOẢN CHUNG</w:t>
        <w:br/>
      </w:r>
      <w:r>
        <w:rPr>
          <w:b/>
          <w:color w:val="000000"/>
          <w:sz w:val="20"/>
        </w:rPr>
        <w:t>ARTICLE 17. GENERAL PROVISIONS</w:t>
      </w:r>
    </w:p>
    <w:p>
      <w:pPr>
        <w:spacing w:before="40" w:after="80" w:line="276" w:lineRule="auto"/>
      </w:pPr>
      <w:r>
        <w:rPr>
          <w:sz w:val="19"/>
        </w:rPr>
        <w:t>17.1. Nếu một điều khoản bị xác định là vô hiệu hoặc không thể thi hành, các điều khoản còn lại vẫn có hiệu lực.</w:t>
        <w:br/>
      </w:r>
      <w:r>
        <w:rPr>
          <w:i/>
          <w:color w:val="000000"/>
          <w:sz w:val="18"/>
        </w:rPr>
        <w:t>17.1. If any provision is held invalid or unenforceable, the remaining provisions shall remain in full force and effect.</w:t>
      </w:r>
    </w:p>
    <w:p>
      <w:pPr>
        <w:spacing w:before="40" w:after="80" w:line="276" w:lineRule="auto"/>
      </w:pPr>
      <w:r>
        <w:rPr>
          <w:sz w:val="19"/>
        </w:rPr>
        <w:t>17.2. Hợp đồng có thể được ký thành nhiều bản có giá trị như nhau; bản điện tử hoặc bản scan được chấp nhận trong phạm vi pháp luật cho phép.</w:t>
        <w:br/>
      </w:r>
      <w:r>
        <w:rPr>
          <w:i/>
          <w:color w:val="000000"/>
          <w:sz w:val="18"/>
        </w:rPr>
        <w:t>17.2. This Agreement may be executed in counterparts of equal validity; electronic or scanned copies shall be accepted to the extent permitted by law.</w:t>
      </w:r>
    </w:p>
    <w:p>
      <w:pPr>
        <w:spacing w:before="40" w:after="80" w:line="276" w:lineRule="auto"/>
      </w:pPr>
      <w:r>
        <w:rPr>
          <w:sz w:val="19"/>
        </w:rPr>
        <w:t>17.3. Hợp đồng này chỉ thiết lập khung hợp tác và không tự tạo ra nghĩa vụ mua bán cụ thể nếu không có Phụ lục Đặt hàng tương ứng.</w:t>
        <w:br/>
      </w:r>
      <w:r>
        <w:rPr>
          <w:i/>
          <w:color w:val="000000"/>
          <w:sz w:val="18"/>
        </w:rPr>
        <w:t>17.3. This Agreement establishes a cooperation framework and does not by itself create a specific purchase or delivery obligation without a corresponding Order Appendix.</w:t>
      </w:r>
    </w:p>
    <w:p>
      <w:pPr>
        <w:spacing w:before="240" w:after="80"/>
      </w:pPr>
      <w:r>
        <w:rPr>
          <w:b/>
          <w:color w:val="000000"/>
          <w:sz w:val="22"/>
        </w:rPr>
        <w:t>ĐẠI DIỆN KÝ KẾT / SIGNATURES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5040"/>
        <w:gridCol w:w="5040"/>
      </w:tblGrid>
      <w:tr>
        <w:tc>
          <w:tcPr>
            <w:tcW w:type="dxa" w:w="5040"/>
            <w:shd w:fill="F2F2F2"/>
            <w:tcMar>
              <w:top w:w="40" w:type="dxa"/>
              <w:bottom w:w="40" w:type="dxa"/>
              <w:left w:w="80" w:type="dxa"/>
              <w:right w:w="80" w:type="dxa"/>
            </w:tcMar>
          </w:tcPr>
          <w:p>
            <w:r>
              <w:rPr>
                <w:b/>
                <w:sz w:val="18"/>
              </w:rPr>
              <w:t>ĐẠI DIỆN BÊN A</w:t>
              <w:br/>
              <w:t>FOR AND ON BEHALF OF PARTY A</w:t>
            </w:r>
          </w:p>
        </w:tc>
        <w:tc>
          <w:tcPr>
            <w:tcW w:type="dxa" w:w="5040"/>
            <w:shd w:fill="F2F2F2"/>
            <w:tcMar>
              <w:top w:w="40" w:type="dxa"/>
              <w:bottom w:w="40" w:type="dxa"/>
              <w:left w:w="80" w:type="dxa"/>
              <w:right w:w="80" w:type="dxa"/>
            </w:tcMar>
          </w:tcPr>
          <w:p>
            <w:r>
              <w:rPr>
                <w:b/>
                <w:sz w:val="18"/>
              </w:rPr>
              <w:t>ĐẠI DIỆN BÊN B</w:t>
              <w:br/>
              <w:t>FOR AND ON BEHALF OF PARTY B</w:t>
            </w:r>
          </w:p>
        </w:tc>
      </w:tr>
      <w:tr>
        <w:tc>
          <w:tcPr>
            <w:tcW w:type="dxa" w:w="5040"/>
            <w:tcMar>
              <w:top w:w="40" w:type="dxa"/>
              <w:bottom w:w="40" w:type="dxa"/>
              <w:left w:w="80" w:type="dxa"/>
              <w:right w:w="80" w:type="dxa"/>
            </w:tcMar>
          </w:tcPr>
          <w:p>
            <w:r>
              <w:rPr>
                <w:sz w:val="18"/>
              </w:rPr>
              <w:t>Chữ ký / Signature:</w:t>
              <w:br/>
              <w:br/>
              <w:br/>
              <w:br/>
            </w:r>
          </w:p>
        </w:tc>
        <w:tc>
          <w:tcPr>
            <w:tcW w:type="dxa" w:w="5040"/>
            <w:tcMar>
              <w:top w:w="40" w:type="dxa"/>
              <w:bottom w:w="40" w:type="dxa"/>
              <w:left w:w="80" w:type="dxa"/>
              <w:right w:w="80" w:type="dxa"/>
            </w:tcMar>
          </w:tcPr>
          <w:p>
            <w:r>
              <w:rPr>
                <w:sz w:val="18"/>
              </w:rPr>
              <w:t>Chữ ký / Signature:</w:t>
              <w:br/>
              <w:br/>
              <w:br/>
              <w:br/>
            </w:r>
          </w:p>
        </w:tc>
      </w:tr>
      <w:tr>
        <w:tc>
          <w:tcPr>
            <w:tcW w:type="dxa" w:w="5040"/>
            <w:tcMar>
              <w:top w:w="40" w:type="dxa"/>
              <w:bottom w:w="40" w:type="dxa"/>
              <w:left w:w="80" w:type="dxa"/>
              <w:right w:w="80" w:type="dxa"/>
            </w:tcMar>
          </w:tcPr>
          <w:p>
            <w:r>
              <w:rPr>
                <w:b/>
                <w:sz w:val="18"/>
              </w:rPr>
              <w:t>Họ tên / Full name: NGUYEN VAN TRUNG</w:t>
            </w:r>
          </w:p>
        </w:tc>
        <w:tc>
          <w:tcPr>
            <w:tcW w:type="dxa" w:w="5040"/>
            <w:tcMar>
              <w:top w:w="40" w:type="dxa"/>
              <w:bottom w:w="40" w:type="dxa"/>
              <w:left w:w="80" w:type="dxa"/>
              <w:right w:w="80" w:type="dxa"/>
            </w:tcMar>
          </w:tcPr>
          <w:p>
            <w:r>
              <w:rPr>
                <w:b/>
                <w:sz w:val="18"/>
              </w:rPr>
              <w:t>Họ tên / Full name: PARINNDA BOONSRI</w:t>
            </w:r>
          </w:p>
        </w:tc>
      </w:tr>
      <w:tr>
        <w:tc>
          <w:tcPr>
            <w:tcW w:type="dxa" w:w="5040"/>
            <w:tcMar>
              <w:top w:w="40" w:type="dxa"/>
              <w:bottom w:w="40" w:type="dxa"/>
              <w:left w:w="80" w:type="dxa"/>
              <w:right w:w="80" w:type="dxa"/>
            </w:tcMar>
          </w:tcPr>
          <w:p>
            <w:r>
              <w:rPr>
                <w:sz w:val="18"/>
              </w:rPr>
              <w:t>Chức vụ / Position: Director</w:t>
            </w:r>
          </w:p>
        </w:tc>
        <w:tc>
          <w:tcPr>
            <w:tcW w:type="dxa" w:w="5040"/>
            <w:tcMar>
              <w:top w:w="40" w:type="dxa"/>
              <w:bottom w:w="40" w:type="dxa"/>
              <w:left w:w="80" w:type="dxa"/>
              <w:right w:w="80" w:type="dxa"/>
            </w:tcMar>
          </w:tcPr>
          <w:p>
            <w:r>
              <w:rPr>
                <w:sz w:val="18"/>
              </w:rPr>
              <w:t>Chức vụ / Position: Director</w:t>
            </w:r>
          </w:p>
        </w:tc>
      </w:tr>
      <w:tr>
        <w:tc>
          <w:tcPr>
            <w:tcW w:type="dxa" w:w="5040"/>
            <w:tcMar>
              <w:top w:w="40" w:type="dxa"/>
              <w:bottom w:w="40" w:type="dxa"/>
              <w:left w:w="80" w:type="dxa"/>
              <w:right w:w="80" w:type="dxa"/>
            </w:tcMar>
          </w:tcPr>
          <w:p>
            <w:r>
              <w:rPr>
                <w:b/>
                <w:sz w:val="18"/>
              </w:rPr>
              <w:t>Ngày / Date: 09 / 09 / 2026</w:t>
            </w:r>
          </w:p>
        </w:tc>
        <w:tc>
          <w:tcPr>
            <w:tcW w:type="dxa" w:w="5040"/>
            <w:tcMar>
              <w:top w:w="40" w:type="dxa"/>
              <w:bottom w:w="40" w:type="dxa"/>
              <w:left w:w="80" w:type="dxa"/>
              <w:right w:w="80" w:type="dxa"/>
            </w:tcMar>
          </w:tcPr>
          <w:p>
            <w:r>
              <w:rPr>
                <w:b/>
                <w:sz w:val="18"/>
              </w:rPr>
              <w:t>Ngày / Date: 09 / 09 / 2026</w:t>
            </w:r>
          </w:p>
        </w:tc>
      </w:tr>
    </w:tbl>
    <w:p>
      <w:r>
        <w:br w:type="page"/>
      </w:r>
    </w:p>
    <w:p>
      <w:pPr>
        <w:spacing w:before="80" w:after="40"/>
        <w:jc w:val="center"/>
      </w:pPr>
      <w:r>
        <w:rPr>
          <w:b/>
          <w:sz w:val="26"/>
        </w:rPr>
        <w:t>PHỤ LỤC ĐẶT HÀNG SỐ 01</w:t>
        <w:br/>
      </w:r>
      <w:r>
        <w:rPr>
          <w:b/>
          <w:color w:val="000000"/>
          <w:sz w:val="24"/>
        </w:rPr>
        <w:t>ORDER APPENDIX NO. 01</w:t>
      </w:r>
    </w:p>
    <w:p>
      <w:pPr>
        <w:spacing w:after="160"/>
        <w:jc w:val="center"/>
      </w:pPr>
      <w:r>
        <w:rPr>
          <w:sz w:val="19"/>
        </w:rPr>
        <w:t>Theo Hợp đồng khung số GSS-DM-MSA-2026 / Under Master Agreement No. GSS-DM-MSA-2026</w:t>
        <w:br/>
      </w:r>
      <w:r>
        <w:rPr>
          <w:b/>
          <w:sz w:val="20"/>
        </w:rPr>
        <w:t>Ngày: 09/09/2026  |  Date: 09/09/2026</w:t>
      </w:r>
    </w:p>
    <w:p>
      <w:pPr>
        <w:spacing w:before="120" w:after="80"/>
      </w:pPr>
      <w:r>
        <w:rPr>
          <w:b/>
          <w:color w:val="000000"/>
          <w:sz w:val="21"/>
        </w:rPr>
        <w:t>1. THÔNG TIN ĐƠN HÀNG / 1. ORDER INFORMATION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5040"/>
        <w:gridCol w:w="5040"/>
      </w:tblGrid>
      <w:tr>
        <w:tc>
          <w:tcPr>
            <w:tcW w:type="dxa" w:w="5040"/>
            <w:shd w:fill="F2F2F2"/>
          </w:tcPr>
          <w:p>
            <w:r>
              <w:rPr>
                <w:b/>
                <w:sz w:val="17"/>
              </w:rPr>
              <w:t>Nội dung / Particular</w:t>
            </w:r>
          </w:p>
        </w:tc>
        <w:tc>
          <w:tcPr>
            <w:tcW w:type="dxa" w:w="5040"/>
            <w:shd w:fill="F2F2F2"/>
          </w:tcPr>
          <w:p>
            <w:r>
              <w:rPr>
                <w:b/>
                <w:sz w:val="17"/>
              </w:rPr>
              <w:t>Thông tin / Details</w:t>
            </w:r>
          </w:p>
        </w:tc>
      </w:tr>
      <w:tr>
        <w:tc>
          <w:tcPr>
            <w:tcW w:type="dxa" w:w="5040"/>
            <w:tcMar>
              <w:top w:w="40" w:type="dxa"/>
              <w:bottom w:w="40" w:type="dxa"/>
              <w:left w:w="60" w:type="dxa"/>
              <w:right w:w="60" w:type="dxa"/>
            </w:tcMar>
          </w:tcPr>
          <w:p>
            <w:r>
              <w:rPr>
                <w:sz w:val="17"/>
              </w:rPr>
              <w:t>Số hợp đồng / Contract No.</w:t>
            </w:r>
          </w:p>
        </w:tc>
        <w:tc>
          <w:tcPr>
            <w:tcW w:type="dxa" w:w="5040"/>
            <w:tcMar>
              <w:top w:w="40" w:type="dxa"/>
              <w:bottom w:w="40" w:type="dxa"/>
              <w:left w:w="60" w:type="dxa"/>
              <w:right w:w="60" w:type="dxa"/>
            </w:tcMar>
          </w:tcPr>
          <w:p>
            <w:r>
              <w:rPr>
                <w:b/>
                <w:sz w:val="17"/>
              </w:rPr>
              <w:t>GSSDIX_FCA_269901</w:t>
            </w:r>
          </w:p>
        </w:tc>
      </w:tr>
      <w:tr>
        <w:tc>
          <w:tcPr>
            <w:tcW w:type="dxa" w:w="5040"/>
            <w:tcMar>
              <w:top w:w="40" w:type="dxa"/>
              <w:bottom w:w="40" w:type="dxa"/>
              <w:left w:w="60" w:type="dxa"/>
              <w:right w:w="60" w:type="dxa"/>
            </w:tcMar>
          </w:tcPr>
          <w:p>
            <w:r>
              <w:rPr>
                <w:sz w:val="17"/>
              </w:rPr>
              <w:t>Bên bán / Seller</w:t>
            </w:r>
          </w:p>
        </w:tc>
        <w:tc>
          <w:tcPr>
            <w:tcW w:type="dxa" w:w="5040"/>
            <w:tcMar>
              <w:top w:w="40" w:type="dxa"/>
              <w:bottom w:w="40" w:type="dxa"/>
              <w:left w:w="60" w:type="dxa"/>
              <w:right w:w="60" w:type="dxa"/>
            </w:tcMar>
          </w:tcPr>
          <w:p>
            <w:r>
              <w:rPr>
                <w:sz w:val="17"/>
              </w:rPr>
              <w:t>GLOBAL SOLUTION SERVICE COMPANY LIMITED</w:t>
            </w:r>
          </w:p>
        </w:tc>
      </w:tr>
      <w:tr>
        <w:tc>
          <w:tcPr>
            <w:tcW w:type="dxa" w:w="5040"/>
            <w:tcMar>
              <w:top w:w="40" w:type="dxa"/>
              <w:bottom w:w="40" w:type="dxa"/>
              <w:left w:w="60" w:type="dxa"/>
              <w:right w:w="60" w:type="dxa"/>
            </w:tcMar>
          </w:tcPr>
          <w:p>
            <w:r>
              <w:rPr>
                <w:sz w:val="17"/>
              </w:rPr>
              <w:t>Bên mua / Buyer</w:t>
            </w:r>
          </w:p>
        </w:tc>
        <w:tc>
          <w:tcPr>
            <w:tcW w:type="dxa" w:w="5040"/>
            <w:tcMar>
              <w:top w:w="40" w:type="dxa"/>
              <w:bottom w:w="40" w:type="dxa"/>
              <w:left w:w="60" w:type="dxa"/>
              <w:right w:w="60" w:type="dxa"/>
            </w:tcMar>
          </w:tcPr>
          <w:p>
            <w:r>
              <w:rPr>
                <w:sz w:val="17"/>
              </w:rPr>
              <w:t>DUANGMANEE IMPORT-EXPORT CO., LTD</w:t>
            </w:r>
          </w:p>
        </w:tc>
      </w:tr>
      <w:tr>
        <w:tc>
          <w:tcPr>
            <w:tcW w:type="dxa" w:w="5040"/>
            <w:tcMar>
              <w:top w:w="40" w:type="dxa"/>
              <w:bottom w:w="40" w:type="dxa"/>
              <w:left w:w="60" w:type="dxa"/>
              <w:right w:w="60" w:type="dxa"/>
            </w:tcMar>
          </w:tcPr>
          <w:p>
            <w:r>
              <w:rPr>
                <w:sz w:val="17"/>
              </w:rPr>
              <w:t>Đồng tiền / Currency</w:t>
            </w:r>
          </w:p>
        </w:tc>
        <w:tc>
          <w:tcPr>
            <w:tcW w:type="dxa" w:w="5040"/>
            <w:tcMar>
              <w:top w:w="40" w:type="dxa"/>
              <w:bottom w:w="40" w:type="dxa"/>
              <w:left w:w="60" w:type="dxa"/>
              <w:right w:w="60" w:type="dxa"/>
            </w:tcMar>
          </w:tcPr>
          <w:p>
            <w:r>
              <w:rPr>
                <w:sz w:val="17"/>
              </w:rPr>
              <w:t>USD</w:t>
            </w:r>
          </w:p>
        </w:tc>
      </w:tr>
      <w:tr>
        <w:tc>
          <w:tcPr>
            <w:tcW w:type="dxa" w:w="5040"/>
            <w:tcMar>
              <w:top w:w="40" w:type="dxa"/>
              <w:bottom w:w="40" w:type="dxa"/>
              <w:left w:w="60" w:type="dxa"/>
              <w:right w:w="60" w:type="dxa"/>
            </w:tcMar>
          </w:tcPr>
          <w:p>
            <w:r>
              <w:rPr>
                <w:sz w:val="17"/>
              </w:rPr>
              <w:t>Incoterm</w:t>
            </w:r>
          </w:p>
        </w:tc>
        <w:tc>
          <w:tcPr>
            <w:tcW w:type="dxa" w:w="5040"/>
            <w:tcMar>
              <w:top w:w="40" w:type="dxa"/>
              <w:bottom w:w="40" w:type="dxa"/>
              <w:left w:w="60" w:type="dxa"/>
              <w:right w:w="60" w:type="dxa"/>
            </w:tcMar>
          </w:tcPr>
          <w:p>
            <w:r>
              <w:rPr>
                <w:sz w:val="17"/>
              </w:rPr>
              <w:t>FCA LAO BAO INTERNATIONAL BORDER CHECKPOINT, QUANG TRI PROVINCE, VIETNAM – INCOTERMS 2020</w:t>
            </w:r>
          </w:p>
        </w:tc>
      </w:tr>
      <w:tr>
        <w:tc>
          <w:tcPr>
            <w:tcW w:type="dxa" w:w="5040"/>
            <w:tcMar>
              <w:top w:w="40" w:type="dxa"/>
              <w:bottom w:w="40" w:type="dxa"/>
              <w:left w:w="60" w:type="dxa"/>
              <w:right w:w="60" w:type="dxa"/>
            </w:tcMar>
          </w:tcPr>
          <w:p>
            <w:r>
              <w:rPr>
                <w:sz w:val="17"/>
              </w:rPr>
              <w:t>Địa điểm giao hàng / Delivery place</w:t>
            </w:r>
          </w:p>
        </w:tc>
        <w:tc>
          <w:tcPr>
            <w:tcW w:type="dxa" w:w="5040"/>
            <w:tcMar>
              <w:top w:w="40" w:type="dxa"/>
              <w:bottom w:w="40" w:type="dxa"/>
              <w:left w:w="60" w:type="dxa"/>
              <w:right w:w="60" w:type="dxa"/>
            </w:tcMar>
          </w:tcPr>
          <w:p>
            <w:r>
              <w:rPr>
                <w:sz w:val="17"/>
              </w:rPr>
              <w:t>Lao Bao International Border Checkpoint area, Quang Tri Province, Vietnam</w:t>
            </w:r>
          </w:p>
        </w:tc>
      </w:tr>
      <w:tr>
        <w:tc>
          <w:tcPr>
            <w:tcW w:type="dxa" w:w="5040"/>
            <w:tcMar>
              <w:top w:w="40" w:type="dxa"/>
              <w:bottom w:w="40" w:type="dxa"/>
              <w:left w:w="60" w:type="dxa"/>
              <w:right w:w="60" w:type="dxa"/>
            </w:tcMar>
          </w:tcPr>
          <w:p>
            <w:r>
              <w:rPr>
                <w:sz w:val="17"/>
              </w:rPr>
              <w:t>Phương thức vận chuyển / Transport</w:t>
            </w:r>
          </w:p>
        </w:tc>
        <w:tc>
          <w:tcPr>
            <w:tcW w:type="dxa" w:w="5040"/>
            <w:tcMar>
              <w:top w:w="40" w:type="dxa"/>
              <w:bottom w:w="40" w:type="dxa"/>
              <w:left w:w="60" w:type="dxa"/>
              <w:right w:w="60" w:type="dxa"/>
            </w:tcMar>
          </w:tcPr>
          <w:p>
            <w:r>
              <w:rPr>
                <w:sz w:val="17"/>
              </w:rPr>
              <w:t>By truck</w:t>
            </w:r>
          </w:p>
        </w:tc>
      </w:tr>
    </w:tbl>
    <w:p>
      <w:pPr>
        <w:spacing w:before="160" w:after="80"/>
      </w:pPr>
      <w:r>
        <w:rPr>
          <w:b/>
          <w:color w:val="000000"/>
          <w:sz w:val="21"/>
        </w:rPr>
        <w:t>2. HÀNG HÓA VÀ GIÁ / 2. GOODS AND PRICE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gridCol w:w="1440"/>
      </w:tblGrid>
      <w:tr>
        <w:tc>
          <w:tcPr>
            <w:tcW w:type="dxa" w:w="1440"/>
            <w:shd w:fill="F2F2F2"/>
            <w:tcMar>
              <w:top w:w="40" w:type="dxa"/>
              <w:bottom w:w="40" w:type="dxa"/>
              <w:left w:w="50" w:type="dxa"/>
              <w:right w:w="50" w:type="dxa"/>
            </w:tcMar>
            <w:tcMar>
              <w:top w:w="40" w:type="dxa"/>
              <w:bottom w:w="40" w:type="dxa"/>
              <w:left w:w="50" w:type="dxa"/>
              <w:right w:w="50" w:type="dxa"/>
            </w:tcMar>
          </w:tcPr>
          <w:p>
            <w:r>
              <w:rPr>
                <w:b/>
                <w:sz w:val="17"/>
              </w:rPr>
              <w:t>STT /</w:t>
              <w:br/>
              <w:t>No.</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Hàng hóa /</w:t>
              <w:br/>
              <w:t>Goods</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HS Code</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Đóng gói /</w:t>
              <w:br/>
              <w:t>Packing</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SL /</w:t>
              <w:br/>
              <w:t>Qty</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Đơn giá USD /</w:t>
              <w:br/>
              <w:t>Unit Price</w:t>
            </w:r>
          </w:p>
        </w:tc>
        <w:tc>
          <w:tcPr>
            <w:tcW w:type="dxa" w:w="1440"/>
            <w:shd w:fill="F2F2F2"/>
            <w:tcMar>
              <w:top w:w="40" w:type="dxa"/>
              <w:bottom w:w="40" w:type="dxa"/>
              <w:left w:w="50" w:type="dxa"/>
              <w:right w:w="50" w:type="dxa"/>
            </w:tcMar>
            <w:tcMar>
              <w:top w:w="40" w:type="dxa"/>
              <w:bottom w:w="40" w:type="dxa"/>
              <w:left w:w="50" w:type="dxa"/>
              <w:right w:w="50" w:type="dxa"/>
            </w:tcMar>
          </w:tcPr>
          <w:p>
            <w:r>
              <w:rPr>
                <w:b/>
                <w:sz w:val="17"/>
              </w:rPr>
              <w:t>Thành tiền USD</w:t>
              <w:br/>
              <w:t>/ Amount</w:t>
            </w:r>
          </w:p>
        </w:tc>
      </w:tr>
      <w:tr>
        <w:tc>
          <w:tcPr>
            <w:tcW w:type="dxa" w:w="1440"/>
            <w:tcMar>
              <w:top w:w="40" w:type="dxa"/>
              <w:bottom w:w="40" w:type="dxa"/>
              <w:left w:w="50" w:type="dxa"/>
              <w:right w:w="50" w:type="dxa"/>
            </w:tcMar>
          </w:tcPr>
          <w:p>
            <w:r>
              <w:rPr>
                <w:sz w:val="17"/>
              </w:rPr>
              <w:t>1</w:t>
            </w:r>
          </w:p>
        </w:tc>
        <w:tc>
          <w:tcPr>
            <w:tcW w:type="dxa" w:w="1440"/>
            <w:tcMar>
              <w:top w:w="40" w:type="dxa"/>
              <w:bottom w:w="40" w:type="dxa"/>
              <w:left w:w="50" w:type="dxa"/>
              <w:right w:w="50" w:type="dxa"/>
            </w:tcMar>
          </w:tcPr>
          <w:p>
            <w:r>
              <w:rPr>
                <w:b/>
                <w:sz w:val="17"/>
              </w:rPr>
              <w:t>Snack food, crispy stick</w:t>
              <w:br/>
              <w:t>(Snack Quay Gion Gion)</w:t>
            </w:r>
          </w:p>
        </w:tc>
        <w:tc>
          <w:tcPr>
            <w:tcW w:type="dxa" w:w="1440"/>
            <w:tcMar>
              <w:top w:w="40" w:type="dxa"/>
              <w:bottom w:w="40" w:type="dxa"/>
              <w:left w:w="50" w:type="dxa"/>
              <w:right w:w="50" w:type="dxa"/>
            </w:tcMar>
          </w:tcPr>
          <w:p>
            <w:r>
              <w:rPr>
                <w:sz w:val="17"/>
              </w:rPr>
              <w:t>19059090</w:t>
            </w:r>
          </w:p>
        </w:tc>
        <w:tc>
          <w:tcPr>
            <w:tcW w:type="dxa" w:w="1440"/>
            <w:tcMar>
              <w:top w:w="40" w:type="dxa"/>
              <w:bottom w:w="40" w:type="dxa"/>
              <w:left w:w="50" w:type="dxa"/>
              <w:right w:w="50" w:type="dxa"/>
            </w:tcMar>
          </w:tcPr>
          <w:p>
            <w:r>
              <w:rPr>
                <w:sz w:val="17"/>
              </w:rPr>
              <w:t>22g/cup; 300 cups/carton</w:t>
              <w:br/>
              <w:t>(30 cups × 10 bags/box);</w:t>
              <w:br/>
              <w:t>carton 585 × 270 × 497 mm</w:t>
            </w:r>
          </w:p>
        </w:tc>
        <w:tc>
          <w:tcPr>
            <w:tcW w:type="dxa" w:w="1440"/>
            <w:tcMar>
              <w:top w:w="40" w:type="dxa"/>
              <w:bottom w:w="40" w:type="dxa"/>
              <w:left w:w="50" w:type="dxa"/>
              <w:right w:w="50" w:type="dxa"/>
            </w:tcMar>
          </w:tcPr>
          <w:p>
            <w:r>
              <w:rPr>
                <w:b/>
                <w:sz w:val="17"/>
              </w:rPr>
              <w:t>1,300 boxes</w:t>
            </w:r>
          </w:p>
        </w:tc>
        <w:tc>
          <w:tcPr>
            <w:tcW w:type="dxa" w:w="1440"/>
            <w:tcMar>
              <w:top w:w="40" w:type="dxa"/>
              <w:bottom w:w="40" w:type="dxa"/>
              <w:left w:w="50" w:type="dxa"/>
              <w:right w:w="50" w:type="dxa"/>
            </w:tcMar>
          </w:tcPr>
          <w:p>
            <w:r>
              <w:rPr>
                <w:sz w:val="17"/>
              </w:rPr>
              <w:t>15.80</w:t>
            </w:r>
          </w:p>
        </w:tc>
        <w:tc>
          <w:tcPr>
            <w:tcW w:type="dxa" w:w="1440"/>
            <w:tcMar>
              <w:top w:w="40" w:type="dxa"/>
              <w:bottom w:w="40" w:type="dxa"/>
              <w:left w:w="50" w:type="dxa"/>
              <w:right w:w="50" w:type="dxa"/>
            </w:tcMar>
          </w:tcPr>
          <w:p>
            <w:r>
              <w:rPr>
                <w:b/>
                <w:sz w:val="17"/>
              </w:rPr>
              <w:t>20,540.00</w:t>
            </w:r>
          </w:p>
        </w:tc>
      </w:tr>
      <w:tr>
        <w:tc>
          <w:tcPr>
            <w:tcW w:type="dxa" w:w="1440"/>
            <w:tcMar>
              <w:top w:w="40" w:type="dxa"/>
              <w:bottom w:w="40" w:type="dxa"/>
              <w:left w:w="50" w:type="dxa"/>
              <w:right w:w="50" w:type="dxa"/>
            </w:tcMar>
          </w:tcPr>
          <w:p/>
        </w:tc>
        <w:tc>
          <w:tcPr>
            <w:tcW w:type="dxa" w:w="1440"/>
            <w:tcMar>
              <w:top w:w="40" w:type="dxa"/>
              <w:bottom w:w="40" w:type="dxa"/>
              <w:left w:w="50" w:type="dxa"/>
              <w:right w:w="50" w:type="dxa"/>
            </w:tcMar>
          </w:tcPr>
          <w:p>
            <w:r>
              <w:rPr>
                <w:b/>
                <w:sz w:val="17"/>
              </w:rPr>
              <w:t>TOTAL</w:t>
            </w:r>
          </w:p>
        </w:tc>
        <w:tc>
          <w:tcPr>
            <w:tcW w:type="dxa" w:w="1440"/>
            <w:tcMar>
              <w:top w:w="40" w:type="dxa"/>
              <w:bottom w:w="40" w:type="dxa"/>
              <w:left w:w="50" w:type="dxa"/>
              <w:right w:w="50" w:type="dxa"/>
            </w:tcMar>
          </w:tcPr>
          <w:p/>
        </w:tc>
        <w:tc>
          <w:tcPr>
            <w:tcW w:type="dxa" w:w="1440"/>
            <w:tcMar>
              <w:top w:w="40" w:type="dxa"/>
              <w:bottom w:w="40" w:type="dxa"/>
              <w:left w:w="50" w:type="dxa"/>
              <w:right w:w="50" w:type="dxa"/>
            </w:tcMar>
          </w:tcPr>
          <w:p/>
        </w:tc>
        <w:tc>
          <w:tcPr>
            <w:tcW w:type="dxa" w:w="1440"/>
            <w:tcMar>
              <w:top w:w="40" w:type="dxa"/>
              <w:bottom w:w="40" w:type="dxa"/>
              <w:left w:w="50" w:type="dxa"/>
              <w:right w:w="50" w:type="dxa"/>
            </w:tcMar>
          </w:tcPr>
          <w:p>
            <w:r>
              <w:rPr>
                <w:b/>
                <w:sz w:val="17"/>
              </w:rPr>
              <w:t>1,300 boxes</w:t>
            </w:r>
          </w:p>
        </w:tc>
        <w:tc>
          <w:tcPr>
            <w:tcW w:type="dxa" w:w="1440"/>
            <w:tcMar>
              <w:top w:w="40" w:type="dxa"/>
              <w:bottom w:w="40" w:type="dxa"/>
              <w:left w:w="50" w:type="dxa"/>
              <w:right w:w="50" w:type="dxa"/>
            </w:tcMar>
          </w:tcPr>
          <w:p/>
        </w:tc>
        <w:tc>
          <w:tcPr>
            <w:tcW w:type="dxa" w:w="1440"/>
            <w:tcMar>
              <w:top w:w="40" w:type="dxa"/>
              <w:bottom w:w="40" w:type="dxa"/>
              <w:left w:w="50" w:type="dxa"/>
              <w:right w:w="50" w:type="dxa"/>
            </w:tcMar>
          </w:tcPr>
          <w:p>
            <w:r>
              <w:rPr>
                <w:b/>
                <w:sz w:val="17"/>
              </w:rPr>
              <w:t>20,540.00</w:t>
            </w:r>
          </w:p>
        </w:tc>
      </w:tr>
    </w:tbl>
    <w:p>
      <w:pPr>
        <w:spacing w:before="80" w:after="80"/>
      </w:pPr>
      <w:r>
        <w:rPr>
          <w:sz w:val="19"/>
        </w:rPr>
        <w:t>Tổng giá trị đơn hàng: USD 20,540.00 (Hai mươi nghìn năm trăm bốn mươi đô la Mỹ).</w:t>
        <w:br/>
      </w:r>
      <w:r>
        <w:rPr>
          <w:i/>
          <w:sz w:val="18"/>
        </w:rPr>
        <w:t>Total Order Value: USD 20,540.00 (Twenty thousand five hundred forty US Dollars only).</w:t>
        <w:br/>
      </w:r>
      <w:r>
        <w:t>Nguồn gốc: Việt Nam. / Origin: Vietnam.</w:t>
        <w:br/>
      </w:r>
      <w:r>
        <w:rPr>
          <w:i/>
        </w:rPr>
        <w:t>VAT: áp dụng theo pháp luật Việt Nam; nếu đủ điều kiện áp dụng thuế suất 0% thì Bên A lập hóa đơn/chứng từ theo quy định.</w:t>
        <w:br/>
        <w:t>VAT: applied in accordance with Vietnamese law; where the transaction qualifies for 0% VAT, Party A shall issue the relevant invoice/documents in accordance with law.</w:t>
      </w:r>
    </w:p>
    <w:p>
      <w:pPr>
        <w:spacing w:before="120" w:after="80"/>
      </w:pPr>
      <w:r>
        <w:rPr>
          <w:b/>
          <w:color w:val="000000"/>
          <w:sz w:val="21"/>
        </w:rPr>
        <w:t>3. CHẤT LƯỢNG VÀ QUY CÁCH / 3. QUALITY AND SPECIFICATIONS</w:t>
      </w:r>
    </w:p>
    <w:p>
      <w:pPr>
        <w:spacing w:before="40" w:after="40"/>
      </w:pPr>
      <w:r>
        <w:rPr>
          <w:sz w:val="19"/>
        </w:rPr>
        <w:t>3.1. Hàng mới 100%, bao bì gốc của nhà sản xuất và đáp ứng quy định an toàn thực phẩm Việt Nam áp dụng.</w:t>
        <w:br/>
      </w:r>
      <w:r>
        <w:rPr>
          <w:i/>
          <w:color w:val="000000"/>
          <w:sz w:val="18"/>
        </w:rPr>
        <w:t>3.1. Goods shall be 100% new, in the manufacturer's original packaging and comply with applicable Vietnamese food safety requirements.</w:t>
      </w:r>
    </w:p>
    <w:p>
      <w:pPr>
        <w:spacing w:before="40" w:after="40"/>
      </w:pPr>
      <w:r>
        <w:rPr>
          <w:sz w:val="19"/>
        </w:rPr>
        <w:t>3.2. Hạn sử dụng 06 tháng kể từ ngày sản xuất; thời hạn sử dụng còn lại tại thời điểm giao cho Bên B tối thiểu 05 tháng.</w:t>
        <w:br/>
      </w:r>
      <w:r>
        <w:rPr>
          <w:i/>
          <w:color w:val="000000"/>
          <w:sz w:val="18"/>
        </w:rPr>
        <w:t>3.2. Shelf life is 6 months from manufacture; remaining shelf life at delivery to Party B shall be at least 5 months.</w:t>
      </w:r>
    </w:p>
    <w:p>
      <w:pPr>
        <w:spacing w:before="40" w:after="40"/>
      </w:pPr>
      <w:r>
        <w:rPr>
          <w:sz w:val="19"/>
        </w:rPr>
        <w:t>3.3. Mô tả thống nhất: Product name: Snack food, crispy stick (Snack Quay Gion Gion); HS 19059090; Origin: Vietnam; Packing: 30 cups × 10 bags/carton; 22g/cup; 300 cups/carton. Net: 8,580.00 kg; Gross: 11,440.00 kg.</w:t>
        <w:br/>
      </w:r>
      <w:r>
        <w:rPr>
          <w:i/>
          <w:color w:val="000000"/>
          <w:sz w:val="18"/>
        </w:rPr>
        <w:t>3.3. Consistent description: Product name: Snack food, crispy stick (Snack Quay Gion Gion); HS 19059090; Origin: Vietnam; Packing: 30 cups × 10 bags/carton; 22g/cup; 300 cups/carton. Net: 8,580.00 kg; Gross: 11,440.00 kg.</w:t>
      </w:r>
    </w:p>
    <w:p>
      <w:pPr>
        <w:spacing w:before="120" w:after="80"/>
      </w:pPr>
      <w:r>
        <w:rPr>
          <w:b/>
          <w:color w:val="000000"/>
          <w:sz w:val="21"/>
        </w:rPr>
        <w:t>4. THANH TOÁN / 4. PAYMENT</w:t>
      </w:r>
    </w:p>
    <w:p>
      <w:pPr>
        <w:spacing w:before="40" w:after="80"/>
      </w:pPr>
      <w:r>
        <w:t>Bên B thanh toán 100% bằng USD theo T/T vào tài khoản USD của Bên A tại MB Bank.</w:t>
        <w:br/>
      </w:r>
      <w:r>
        <w:rPr>
          <w:i/>
        </w:rPr>
        <w:t>Party B shall pay 100% in USD by T/T into Party A's designated USD account at MB Bank.</w:t>
        <w:br/>
      </w:r>
      <w:r>
        <w:rPr>
          <w:b/>
        </w:rPr>
        <w:t>• Đợt 1 – Tiền cọc tạm ứng đã nhận: USD 8,532.00 (Chuyển khoản đã ghi có tại MB Bank).</w:t>
        <w:br/>
      </w:r>
      <w:r>
        <w:rPr>
          <w:i/>
        </w:rPr>
        <w:t xml:space="preserve">  First installment – Advance deposit: USD 8,532.00 (Wire transfer received via MB Bank).</w:t>
        <w:br/>
      </w:r>
      <w:r>
        <w:rPr>
          <w:b/>
        </w:rPr>
        <w:t>• Đợt 2 – Quyết toán trước khi bốc xe: USD 12,008.00, phải được ghi có thực tế trước khi xếp hàng tại nhà máy.</w:t>
        <w:br/>
      </w:r>
      <w:r>
        <w:rPr>
          <w:i/>
        </w:rPr>
        <w:t xml:space="preserve">  Second installment – Final Balance: USD 12,008.00, must be actually credited before factory loading.</w:t>
        <w:br/>
      </w:r>
      <w:r>
        <w:rPr>
          <w:b/>
        </w:rPr>
        <w:t>Tài khoản: GLOBAL SOLUTION SERVICE COMPANY LIMITED; MB Bank, Phung Hung Branch, Hanoi; Account No. 9489773866038; SWIFT MSCBVNVX.</w:t>
        <w:br/>
      </w:r>
      <w:r>
        <w:rPr>
          <w:i/>
        </w:rPr>
        <w:t>Phí ngân hàng ngoài Việt Nam và phí ngân hàng trung gian do Bên B chịu theo OUR.</w:t>
        <w:br/>
        <w:t>Overseas and intermediary bank charges shall be borne by Party B on an OUR basis.</w:t>
      </w:r>
    </w:p>
    <w:p>
      <w:pPr>
        <w:spacing w:before="120" w:after="80"/>
      </w:pPr>
      <w:r>
        <w:rPr>
          <w:b/>
          <w:color w:val="000000"/>
          <w:sz w:val="21"/>
        </w:rPr>
        <w:t>5. GIAO HÀNG / 5. DELIVERY</w:t>
      </w:r>
    </w:p>
    <w:p>
      <w:r>
        <w:t>Giao hàng trong vòng 07 ngày kể từ khi Bên A nhận đủ 100% tiền thanh toán, trừ các trường hợp gia hạn/bất khả kháng được quy định tại Hợp đồng khung và Phụ lục này.</w:t>
        <w:br/>
      </w:r>
      <w:r>
        <w:rPr>
          <w:i/>
        </w:rPr>
        <w:t>Delivery shall be within 7 days after Party A receives 100% payment, subject to extensions/force majeure under the Master Agreement and this Appendix.</w:t>
        <w:br/>
      </w:r>
      <w:r>
        <w:t>Không cho phép giao hàng từng phần. / Partial shipment is not permitted.</w:t>
        <w:br/>
      </w:r>
      <w:r>
        <w:rPr>
          <w:i/>
        </w:rPr>
        <w:t>Bên B chịu vận chuyển từ Lao Bao trở đi, thủ tục quá cảnh tại Lào và thủ tục nhập khẩu tại Thái Lan.</w:t>
        <w:br/>
        <w:t>Party B shall be responsible for transportation from Lao Bao onward, transit procedures in Laos and import procedures in Thailand.</w:t>
      </w:r>
    </w:p>
    <w:p>
      <w:pPr>
        <w:spacing w:before="120" w:after="80"/>
      </w:pPr>
      <w:r>
        <w:rPr>
          <w:b/>
          <w:color w:val="000000"/>
          <w:sz w:val="21"/>
        </w:rPr>
        <w:t>6. CHỨNG TỪ / 6. DOCUMENTS</w:t>
      </w:r>
    </w:p>
    <w:p>
      <w:pPr>
        <w:spacing w:before="80" w:after="80"/>
      </w:pPr>
      <w:r>
        <w:rPr>
          <w:sz w:val="19"/>
        </w:rPr>
        <w:t>• Hóa đơn thương mại (Commercial Invoice) – 03 bản gốc</w:t>
        <w:br/>
      </w:r>
      <w:r>
        <w:rPr>
          <w:i/>
          <w:sz w:val="19"/>
        </w:rPr>
        <w:t>• Commercial Invoice – 03 originals</w:t>
        <w:br/>
      </w:r>
      <w:r>
        <w:rPr>
          <w:sz w:val="19"/>
        </w:rPr>
        <w:t>• Phiếu đóng gói chi tiết (Packing List) – 03 bản gốc</w:t>
        <w:br/>
      </w:r>
      <w:r>
        <w:rPr>
          <w:i/>
          <w:sz w:val="19"/>
        </w:rPr>
        <w:t>• Packing List – 03 originals</w:t>
        <w:br/>
      </w:r>
      <w:r>
        <w:rPr>
          <w:sz w:val="19"/>
        </w:rPr>
        <w:t>• Tờ khai hải quan xuất khẩu đã thông quan – 01 bản sao</w:t>
        <w:br/>
      </w:r>
      <w:r>
        <w:rPr>
          <w:i/>
          <w:sz w:val="19"/>
        </w:rPr>
        <w:t>• Cleared export customs declaration – 01 copy</w:t>
        <w:br/>
      </w:r>
      <w:r>
        <w:rPr>
          <w:sz w:val="19"/>
        </w:rPr>
        <w:t>• Giấy chứng nhận xuất xứ Mẫu D (C/O Form D) – 01 bản gốc, nếu được cấp</w:t>
        <w:br/>
      </w:r>
      <w:r>
        <w:rPr>
          <w:i/>
          <w:sz w:val="19"/>
        </w:rPr>
        <w:t>• Certificate of Origin Form D – 01 original, where issued</w:t>
        <w:br/>
      </w:r>
      <w:r>
        <w:rPr>
          <w:sz w:val="19"/>
        </w:rPr>
        <w:t>• Biên bản bàn giao tại Cửa khẩu Quốc tế Lao Bảo – 01 bản sao</w:t>
        <w:br/>
      </w:r>
      <w:r>
        <w:rPr>
          <w:i/>
          <w:sz w:val="19"/>
        </w:rPr>
        <w:t>• Handover Minutes at Lao Bao Border Checkpoint – 01 copy</w:t>
        <w:br/>
      </w:r>
      <w:r>
        <w:rPr>
          <w:sz w:val="19"/>
        </w:rPr>
        <w:t>• Chứng từ nhập khẩu Thái Lan khác: chỉ khi có yêu cầu bằng văn bản và Bên B chịu chi phí.</w:t>
        <w:br/>
      </w:r>
      <w:r>
        <w:rPr>
          <w:i/>
          <w:sz w:val="19"/>
        </w:rPr>
        <w:t>• Other Thai import documents only if requested in writing within the agreed notice period and at Party B's cost.</w:t>
        <w:br/>
      </w:r>
    </w:p>
    <w:p>
      <w:pPr>
        <w:spacing w:before="160" w:after="80"/>
      </w:pPr>
      <w:r>
        <w:rPr>
          <w:b/>
          <w:color w:val="000000"/>
          <w:sz w:val="21"/>
        </w:rPr>
        <w:t>7. XÁC NHẬN / 7. CONFIRMATION</w:t>
      </w:r>
    </w:p>
    <w:p>
      <w:r>
        <w:t>Phụ lục này là một phần không tách rời của Hợp đồng khung. Các điều khoản của Hợp đồng khung tiếp tục áp dụng cho các vấn đề không được sửa đổi hoặc quy định cụ thể tại Phụ lục này.</w:t>
        <w:br/>
      </w:r>
      <w:r>
        <w:rPr>
          <w:i/>
        </w:rPr>
        <w:t>This Appendix forms an integral part of the Master Agreement. The Master Agreement continues to apply to matters not amended or specifically provided for in this Appendix.</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5040"/>
        <w:gridCol w:w="5040"/>
      </w:tblGrid>
      <w:tr>
        <w:tc>
          <w:tcPr>
            <w:tcW w:type="dxa" w:w="5040"/>
            <w:shd w:fill="F2F2F2"/>
            <w:tcMar>
              <w:top w:w="40" w:type="dxa"/>
              <w:bottom w:w="40" w:type="dxa"/>
              <w:left w:w="80" w:type="dxa"/>
              <w:right w:w="80" w:type="dxa"/>
            </w:tcMar>
          </w:tcPr>
          <w:p>
            <w:r>
              <w:rPr>
                <w:b/>
                <w:sz w:val="18"/>
              </w:rPr>
              <w:t>BÊN A – BÊN BÁN</w:t>
              <w:br/>
              <w:t>PARTY A – SELLER</w:t>
            </w:r>
          </w:p>
        </w:tc>
        <w:tc>
          <w:tcPr>
            <w:tcW w:type="dxa" w:w="5040"/>
            <w:shd w:fill="F2F2F2"/>
            <w:tcMar>
              <w:top w:w="40" w:type="dxa"/>
              <w:bottom w:w="40" w:type="dxa"/>
              <w:left w:w="80" w:type="dxa"/>
              <w:right w:w="80" w:type="dxa"/>
            </w:tcMar>
          </w:tcPr>
          <w:p>
            <w:r>
              <w:rPr>
                <w:b/>
                <w:sz w:val="18"/>
              </w:rPr>
              <w:t>BÊN B – BÊN MUA</w:t>
              <w:br/>
              <w:t>PARTY B – BUYER</w:t>
            </w:r>
          </w:p>
        </w:tc>
      </w:tr>
      <w:tr>
        <w:tc>
          <w:tcPr>
            <w:tcW w:type="dxa" w:w="5040"/>
            <w:tcMar>
              <w:top w:w="40" w:type="dxa"/>
              <w:bottom w:w="40" w:type="dxa"/>
              <w:left w:w="80" w:type="dxa"/>
              <w:right w:w="80" w:type="dxa"/>
            </w:tcMar>
          </w:tcPr>
          <w:p>
            <w:r>
              <w:rPr>
                <w:sz w:val="18"/>
              </w:rPr>
              <w:t>Chữ ký / Signature:</w:t>
              <w:br/>
              <w:br/>
              <w:br/>
              <w:br/>
            </w:r>
          </w:p>
        </w:tc>
        <w:tc>
          <w:tcPr>
            <w:tcW w:type="dxa" w:w="5040"/>
            <w:tcMar>
              <w:top w:w="40" w:type="dxa"/>
              <w:bottom w:w="40" w:type="dxa"/>
              <w:left w:w="80" w:type="dxa"/>
              <w:right w:w="80" w:type="dxa"/>
            </w:tcMar>
          </w:tcPr>
          <w:p>
            <w:r>
              <w:rPr>
                <w:sz w:val="18"/>
              </w:rPr>
              <w:t>Chữ ký / Signature:</w:t>
              <w:br/>
              <w:br/>
              <w:br/>
              <w:br/>
            </w:r>
          </w:p>
        </w:tc>
      </w:tr>
      <w:tr>
        <w:tc>
          <w:tcPr>
            <w:tcW w:type="dxa" w:w="5040"/>
            <w:tcMar>
              <w:top w:w="40" w:type="dxa"/>
              <w:bottom w:w="40" w:type="dxa"/>
              <w:left w:w="80" w:type="dxa"/>
              <w:right w:w="80" w:type="dxa"/>
            </w:tcMar>
          </w:tcPr>
          <w:p>
            <w:r>
              <w:rPr>
                <w:b/>
                <w:sz w:val="18"/>
              </w:rPr>
              <w:t>Họ tên / Full name: NGUYEN VAN TRUNG</w:t>
            </w:r>
          </w:p>
        </w:tc>
        <w:tc>
          <w:tcPr>
            <w:tcW w:type="dxa" w:w="5040"/>
            <w:tcMar>
              <w:top w:w="40" w:type="dxa"/>
              <w:bottom w:w="40" w:type="dxa"/>
              <w:left w:w="80" w:type="dxa"/>
              <w:right w:w="80" w:type="dxa"/>
            </w:tcMar>
          </w:tcPr>
          <w:p>
            <w:r>
              <w:rPr>
                <w:b/>
                <w:sz w:val="18"/>
              </w:rPr>
              <w:t>Họ tên / Full name: PARINNDA BOONSRI</w:t>
            </w:r>
          </w:p>
        </w:tc>
      </w:tr>
      <w:tr>
        <w:tc>
          <w:tcPr>
            <w:tcW w:type="dxa" w:w="5040"/>
            <w:tcMar>
              <w:top w:w="40" w:type="dxa"/>
              <w:bottom w:w="40" w:type="dxa"/>
              <w:left w:w="80" w:type="dxa"/>
              <w:right w:w="80" w:type="dxa"/>
            </w:tcMar>
          </w:tcPr>
          <w:p>
            <w:r>
              <w:rPr>
                <w:sz w:val="18"/>
              </w:rPr>
              <w:t>Chức vụ / Position: Director</w:t>
            </w:r>
          </w:p>
        </w:tc>
        <w:tc>
          <w:tcPr>
            <w:tcW w:type="dxa" w:w="5040"/>
            <w:tcMar>
              <w:top w:w="40" w:type="dxa"/>
              <w:bottom w:w="40" w:type="dxa"/>
              <w:left w:w="80" w:type="dxa"/>
              <w:right w:w="80" w:type="dxa"/>
            </w:tcMar>
          </w:tcPr>
          <w:p>
            <w:r>
              <w:rPr>
                <w:sz w:val="18"/>
              </w:rPr>
              <w:t>Chức vụ / Position: Director</w:t>
            </w:r>
          </w:p>
        </w:tc>
      </w:tr>
      <w:tr>
        <w:tc>
          <w:tcPr>
            <w:tcW w:type="dxa" w:w="5040"/>
            <w:tcMar>
              <w:top w:w="40" w:type="dxa"/>
              <w:bottom w:w="40" w:type="dxa"/>
              <w:left w:w="80" w:type="dxa"/>
              <w:right w:w="80" w:type="dxa"/>
            </w:tcMar>
          </w:tcPr>
          <w:p>
            <w:r>
              <w:rPr>
                <w:b/>
                <w:sz w:val="18"/>
              </w:rPr>
              <w:t>Ngày / Date: 09 / 09 / 2026</w:t>
            </w:r>
          </w:p>
        </w:tc>
        <w:tc>
          <w:tcPr>
            <w:tcW w:type="dxa" w:w="5040"/>
            <w:tcMar>
              <w:top w:w="40" w:type="dxa"/>
              <w:bottom w:w="40" w:type="dxa"/>
              <w:left w:w="80" w:type="dxa"/>
              <w:right w:w="80" w:type="dxa"/>
            </w:tcMar>
          </w:tcPr>
          <w:p>
            <w:r>
              <w:rPr>
                <w:b/>
                <w:sz w:val="18"/>
              </w:rPr>
              <w:t>Ngày / Date: 09 / 09 / 2026</w:t>
            </w:r>
          </w:p>
        </w:tc>
      </w:tr>
    </w:tbl>
    <w:p>
      <w:r>
        <w:br w:type="page"/>
      </w:r>
    </w:p>
    <w:p>
      <w:pPr>
        <w:spacing w:before="80" w:after="40"/>
        <w:jc w:val="center"/>
      </w:pPr>
      <w:r>
        <w:rPr>
          <w:b/>
          <w:sz w:val="26"/>
        </w:rPr>
        <w:t>MẪU PHỤ LỤC ĐẶT HÀNG</w:t>
        <w:br/>
      </w:r>
      <w:r>
        <w:rPr>
          <w:b/>
          <w:color w:val="000000"/>
          <w:sz w:val="24"/>
        </w:rPr>
        <w:t>STANDARD ORDER APPENDIX TEMPLATE</w:t>
      </w:r>
    </w:p>
    <w:p>
      <w:pPr>
        <w:spacing w:after="200"/>
        <w:jc w:val="center"/>
      </w:pPr>
      <w:r>
        <w:rPr>
          <w:i/>
        </w:rPr>
        <w:t>Dùng cho các đơn hàng tiếp theo theo Hợp đồng khung.</w:t>
        <w:br/>
        <w:t>For subsequent orders under the Master Agreement.</w:t>
      </w:r>
    </w:p>
    <w:p>
      <w:pPr>
        <w:spacing w:before="80" w:after="80"/>
      </w:pPr>
      <w:r>
        <w:rPr>
          <w:b/>
          <w:color w:val="000000"/>
          <w:sz w:val="21"/>
        </w:rPr>
        <w:t>1. THÔNG TIN ĐƠN HÀNG / 1. ORDER INFORMATION</w:t>
      </w:r>
    </w:p>
    <w:p>
      <w:pPr>
        <w:spacing w:before="40" w:after="40"/>
      </w:pPr>
      <w:r>
        <w:rPr>
          <w:sz w:val="18"/>
        </w:rPr>
        <w:t>Số Phụ lục / Appendix No.: ________________________________________</w:t>
      </w:r>
    </w:p>
    <w:p>
      <w:pPr>
        <w:spacing w:before="40" w:after="40"/>
      </w:pPr>
      <w:r>
        <w:rPr>
          <w:sz w:val="18"/>
        </w:rPr>
        <w:t>Ngày / Date: ________________________________________</w:t>
      </w:r>
    </w:p>
    <w:p>
      <w:pPr>
        <w:spacing w:before="40" w:after="40"/>
      </w:pPr>
      <w:r>
        <w:rPr>
          <w:sz w:val="18"/>
        </w:rPr>
        <w:t>Số Hợp đồng khung / Master Agreement No.: ________________________________________</w:t>
      </w:r>
    </w:p>
    <w:p>
      <w:pPr>
        <w:spacing w:before="40" w:after="40"/>
      </w:pPr>
      <w:r>
        <w:rPr>
          <w:sz w:val="18"/>
        </w:rPr>
        <w:t>Bên bán / Seller: ________________________________________</w:t>
      </w:r>
    </w:p>
    <w:p>
      <w:pPr>
        <w:spacing w:before="40" w:after="40"/>
      </w:pPr>
      <w:r>
        <w:rPr>
          <w:sz w:val="18"/>
        </w:rPr>
        <w:t>Bên mua / Buyer: ________________________________________</w:t>
      </w:r>
    </w:p>
    <w:p>
      <w:pPr>
        <w:spacing w:before="40" w:after="40"/>
      </w:pPr>
      <w:r>
        <w:rPr>
          <w:sz w:val="18"/>
        </w:rPr>
        <w:t>Đồng tiền / Currency: ________________________________________</w:t>
      </w:r>
    </w:p>
    <w:p>
      <w:pPr>
        <w:spacing w:before="40" w:after="40"/>
      </w:pPr>
      <w:r>
        <w:rPr>
          <w:sz w:val="18"/>
        </w:rPr>
        <w:t>Incoterm &amp; địa điểm giao hàng / Incoterm &amp; Delivery Place: ________________________________________</w:t>
      </w:r>
    </w:p>
    <w:p>
      <w:pPr>
        <w:spacing w:before="160" w:after="80"/>
      </w:pPr>
      <w:r>
        <w:rPr>
          <w:b/>
          <w:color w:val="000000"/>
          <w:sz w:val="21"/>
        </w:rPr>
        <w:t>2. DANH MỤC HÀNG HÓA / 2. GOODS SCHEDULE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60"/>
        <w:gridCol w:w="1260"/>
        <w:gridCol w:w="1260"/>
        <w:gridCol w:w="1260"/>
        <w:gridCol w:w="1260"/>
        <w:gridCol w:w="1260"/>
        <w:gridCol w:w="1260"/>
        <w:gridCol w:w="1260"/>
      </w:tblGrid>
      <w:tr>
        <w:tc>
          <w:tcPr>
            <w:tcW w:type="dxa" w:w="1260"/>
            <w:shd w:fill="F2F2F2"/>
            <w:tcMar>
              <w:top w:w="40" w:type="dxa"/>
              <w:bottom w:w="40" w:type="dxa"/>
              <w:left w:w="40" w:type="dxa"/>
              <w:right w:w="40" w:type="dxa"/>
            </w:tcMar>
          </w:tcPr>
          <w:p>
            <w:r>
              <w:rPr>
                <w:b/>
              </w:rPr>
              <w:t>No.</w:t>
            </w:r>
          </w:p>
        </w:tc>
        <w:tc>
          <w:tcPr>
            <w:tcW w:type="dxa" w:w="1260"/>
            <w:shd w:fill="F2F2F2"/>
            <w:tcMar>
              <w:top w:w="40" w:type="dxa"/>
              <w:bottom w:w="40" w:type="dxa"/>
              <w:left w:w="40" w:type="dxa"/>
              <w:right w:w="40" w:type="dxa"/>
            </w:tcMar>
          </w:tcPr>
          <w:p>
            <w:r>
              <w:rPr>
                <w:b/>
              </w:rPr>
              <w:t>Goods</w:t>
            </w:r>
          </w:p>
        </w:tc>
        <w:tc>
          <w:tcPr>
            <w:tcW w:type="dxa" w:w="1260"/>
            <w:shd w:fill="F2F2F2"/>
            <w:tcMar>
              <w:top w:w="40" w:type="dxa"/>
              <w:bottom w:w="40" w:type="dxa"/>
              <w:left w:w="40" w:type="dxa"/>
              <w:right w:w="40" w:type="dxa"/>
            </w:tcMar>
          </w:tcPr>
          <w:p>
            <w:r>
              <w:rPr>
                <w:b/>
              </w:rPr>
              <w:t>HS Code</w:t>
            </w:r>
          </w:p>
        </w:tc>
        <w:tc>
          <w:tcPr>
            <w:tcW w:type="dxa" w:w="1260"/>
            <w:shd w:fill="F2F2F2"/>
            <w:tcMar>
              <w:top w:w="40" w:type="dxa"/>
              <w:bottom w:w="40" w:type="dxa"/>
              <w:left w:w="40" w:type="dxa"/>
              <w:right w:w="40" w:type="dxa"/>
            </w:tcMar>
          </w:tcPr>
          <w:p>
            <w:r>
              <w:rPr>
                <w:b/>
              </w:rPr>
              <w:t>Origin</w:t>
            </w:r>
          </w:p>
        </w:tc>
        <w:tc>
          <w:tcPr>
            <w:tcW w:type="dxa" w:w="1260"/>
            <w:shd w:fill="F2F2F2"/>
            <w:tcMar>
              <w:top w:w="40" w:type="dxa"/>
              <w:bottom w:w="40" w:type="dxa"/>
              <w:left w:w="40" w:type="dxa"/>
              <w:right w:w="40" w:type="dxa"/>
            </w:tcMar>
          </w:tcPr>
          <w:p>
            <w:r>
              <w:rPr>
                <w:b/>
              </w:rPr>
              <w:t>Packing</w:t>
            </w:r>
          </w:p>
        </w:tc>
        <w:tc>
          <w:tcPr>
            <w:tcW w:type="dxa" w:w="1260"/>
            <w:shd w:fill="F2F2F2"/>
            <w:tcMar>
              <w:top w:w="40" w:type="dxa"/>
              <w:bottom w:w="40" w:type="dxa"/>
              <w:left w:w="40" w:type="dxa"/>
              <w:right w:w="40" w:type="dxa"/>
            </w:tcMar>
          </w:tcPr>
          <w:p>
            <w:r>
              <w:rPr>
                <w:b/>
              </w:rPr>
              <w:t>Qty</w:t>
            </w:r>
          </w:p>
        </w:tc>
        <w:tc>
          <w:tcPr>
            <w:tcW w:type="dxa" w:w="1260"/>
            <w:shd w:fill="F2F2F2"/>
            <w:tcMar>
              <w:top w:w="40" w:type="dxa"/>
              <w:bottom w:w="40" w:type="dxa"/>
              <w:left w:w="40" w:type="dxa"/>
              <w:right w:w="40" w:type="dxa"/>
            </w:tcMar>
          </w:tcPr>
          <w:p>
            <w:r>
              <w:rPr>
                <w:b/>
              </w:rPr>
              <w:t>Unit</w:t>
            </w:r>
          </w:p>
        </w:tc>
        <w:tc>
          <w:tcPr>
            <w:tcW w:type="dxa" w:w="1260"/>
            <w:shd w:fill="F2F2F2"/>
            <w:tcMar>
              <w:top w:w="40" w:type="dxa"/>
              <w:bottom w:w="40" w:type="dxa"/>
              <w:left w:w="40" w:type="dxa"/>
              <w:right w:w="40" w:type="dxa"/>
            </w:tcMar>
          </w:tcPr>
          <w:p>
            <w:r>
              <w:rPr>
                <w:b/>
              </w:rPr>
              <w:t>Unit Price</w:t>
            </w:r>
          </w:p>
        </w:tc>
      </w:tr>
      <w:tr>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r>
      <w:tr>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r>
      <w:tr>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r>
      <w:tr>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c>
          <w:tcPr>
            <w:tcW w:type="dxa" w:w="1260"/>
            <w:tcMar>
              <w:top w:w="40" w:type="dxa"/>
              <w:bottom w:w="40" w:type="dxa"/>
              <w:left w:w="40" w:type="dxa"/>
              <w:right w:w="40" w:type="dxa"/>
            </w:tcMar>
          </w:tcPr>
          <w:p/>
        </w:tc>
      </w:tr>
    </w:tbl>
    <w:p>
      <w:pPr>
        <w:spacing w:before="80" w:after="80"/>
      </w:pPr>
      <w:r>
        <w:t>Tổng giá trị đơn hàng / Total Order Value: __________________ USD</w:t>
        <w:br/>
        <w:t>VAT / Thuế GTGT: __________________</w:t>
        <w:br/>
        <w:t>Hạn sử dụng tối thiểu / Minimum remaining shelf life: __________________</w:t>
        <w:br/>
        <w:t>Quy cách/chất lượng đặc biệt / Special specifications: __________________</w:t>
      </w:r>
    </w:p>
    <w:p>
      <w:pPr>
        <w:spacing w:before="120" w:after="40"/>
      </w:pPr>
      <w:r>
        <w:rPr>
          <w:b/>
          <w:color w:val="000000"/>
          <w:sz w:val="21"/>
        </w:rPr>
        <w:t>3. THANH TOÁN / 3. PAYMENT</w:t>
      </w:r>
    </w:p>
    <w:p>
      <w:pPr>
        <w:spacing w:before="40" w:after="40"/>
      </w:pPr>
      <w:r>
        <w:rPr>
          <w:sz w:val="18"/>
        </w:rPr>
        <w:t>Tỷ lệ/đợt thanh toán / Payment schedule: ________________________________________________</w:t>
      </w:r>
    </w:p>
    <w:p>
      <w:pPr>
        <w:spacing w:before="40" w:after="40"/>
      </w:pPr>
      <w:r>
        <w:rPr>
          <w:sz w:val="18"/>
        </w:rPr>
        <w:t>Thời hạn thanh toán / Payment due dates: ________________________________________________</w:t>
      </w:r>
    </w:p>
    <w:p>
      <w:pPr>
        <w:spacing w:before="40" w:after="40"/>
      </w:pPr>
      <w:r>
        <w:rPr>
          <w:sz w:val="18"/>
        </w:rPr>
        <w:t>Tài khoản nhận tiền / Receiving account: ________________________________________________</w:t>
      </w:r>
    </w:p>
    <w:p>
      <w:pPr>
        <w:spacing w:before="40" w:after="40"/>
      </w:pPr>
      <w:r>
        <w:rPr>
          <w:sz w:val="18"/>
        </w:rPr>
        <w:t>Phí ngân hàng / Bank charges: ________________________________________________</w:t>
      </w:r>
    </w:p>
    <w:p>
      <w:pPr>
        <w:spacing w:before="120" w:after="40"/>
      </w:pPr>
      <w:r>
        <w:rPr>
          <w:b/>
          <w:color w:val="000000"/>
          <w:sz w:val="21"/>
        </w:rPr>
        <w:t>4. GIAO HÀNG / 4. DELIVERY</w:t>
      </w:r>
    </w:p>
    <w:p>
      <w:pPr>
        <w:spacing w:before="40" w:after="40"/>
      </w:pPr>
      <w:r>
        <w:rPr>
          <w:sz w:val="18"/>
        </w:rPr>
        <w:t>Địa điểm giao hàng / Delivery place: ________________________________________________</w:t>
      </w:r>
    </w:p>
    <w:p>
      <w:pPr>
        <w:spacing w:before="40" w:after="40"/>
      </w:pPr>
      <w:r>
        <w:rPr>
          <w:sz w:val="18"/>
        </w:rPr>
        <w:t>Ngày/thời hạn giao hàng / Delivery date/period: ________________________________________________</w:t>
      </w:r>
    </w:p>
    <w:p>
      <w:pPr>
        <w:spacing w:before="40" w:after="40"/>
      </w:pPr>
      <w:r>
        <w:rPr>
          <w:sz w:val="18"/>
        </w:rPr>
        <w:t>Giao từng phần / Partial shipment: Có / Không (Yes / No)</w:t>
      </w:r>
    </w:p>
    <w:p>
      <w:pPr>
        <w:spacing w:before="40" w:after="40"/>
      </w:pPr>
      <w:r>
        <w:rPr>
          <w:sz w:val="18"/>
        </w:rPr>
        <w:t>Điều kiện đặc biệt / Special conditions: ________________________________________________</w:t>
      </w:r>
    </w:p>
    <w:p>
      <w:pPr>
        <w:spacing w:before="120" w:after="40"/>
      </w:pPr>
      <w:r>
        <w:rPr>
          <w:b/>
          <w:color w:val="000000"/>
          <w:sz w:val="21"/>
        </w:rPr>
        <w:t>5. CHỨNG TỪ / 5. DOCUMENTS</w:t>
      </w:r>
    </w:p>
    <w:p>
      <w:pPr>
        <w:spacing w:before="40" w:after="40"/>
      </w:pPr>
      <w:r>
        <w:rPr>
          <w:sz w:val="18"/>
        </w:rPr>
        <w:t>☐ Commercial Invoice</w:t>
        <w:br/>
        <w:t>☐ Packing List</w:t>
        <w:br/>
        <w:t>☐ Export Customs Declaration</w:t>
        <w:br/>
        <w:t>☐ Certificate of Origin</w:t>
        <w:br/>
        <w:t>☐ Handover Minutes</w:t>
        <w:br/>
        <w:t>☐ Other: __________________</w:t>
      </w:r>
    </w:p>
    <w:p>
      <w:pPr>
        <w:spacing w:before="120" w:after="40"/>
      </w:pPr>
      <w:r>
        <w:rPr>
          <w:b/>
          <w:color w:val="000000"/>
          <w:sz w:val="21"/>
        </w:rPr>
        <w:t>6. ĐIỀU KHOẢN BỔ SUNG / 6. ADDITIONAL TERMS</w:t>
      </w:r>
    </w:p>
    <w:p>
      <w:pPr>
        <w:spacing w:before="40" w:after="40"/>
      </w:pPr>
      <w:r>
        <w:rPr>
          <w:sz w:val="18"/>
        </w:rPr>
        <w:t>__________________________________________________________________</w:t>
        <w:br/>
        <w:t>__________________________________________________________________</w:t>
        <w:br/>
        <w:t>__________________________________________________________________</w:t>
      </w:r>
    </w:p>
    <w:p>
      <w:pPr>
        <w:spacing w:before="160" w:after="80"/>
      </w:pPr>
      <w:r>
        <w:rPr>
          <w:b/>
          <w:color w:val="000000"/>
          <w:sz w:val="21"/>
        </w:rPr>
        <w:t>7. KÝ XÁC NHẬN / 7. SIGNATURES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5040"/>
        <w:gridCol w:w="5040"/>
      </w:tblGrid>
      <w:tr>
        <w:tc>
          <w:tcPr>
            <w:tcW w:type="dxa" w:w="5040"/>
            <w:shd w:fill="F2F2F2"/>
            <w:tcMar>
              <w:top w:w="40" w:type="dxa"/>
              <w:bottom w:w="40" w:type="dxa"/>
              <w:left w:w="80" w:type="dxa"/>
              <w:right w:w="80" w:type="dxa"/>
            </w:tcMar>
          </w:tcPr>
          <w:p>
            <w:r>
              <w:rPr>
                <w:b/>
                <w:sz w:val="18"/>
              </w:rPr>
              <w:t>BÊN A – BÊN BÁN</w:t>
              <w:br/>
              <w:t>PARTY A – SELLER</w:t>
            </w:r>
          </w:p>
        </w:tc>
        <w:tc>
          <w:tcPr>
            <w:tcW w:type="dxa" w:w="5040"/>
            <w:shd w:fill="F2F2F2"/>
            <w:tcMar>
              <w:top w:w="40" w:type="dxa"/>
              <w:bottom w:w="40" w:type="dxa"/>
              <w:left w:w="80" w:type="dxa"/>
              <w:right w:w="80" w:type="dxa"/>
            </w:tcMar>
          </w:tcPr>
          <w:p>
            <w:r>
              <w:rPr>
                <w:b/>
                <w:sz w:val="18"/>
              </w:rPr>
              <w:t>BÊN B – BÊN MUA</w:t>
              <w:br/>
              <w:t>PARTY B – BUYER</w:t>
            </w:r>
          </w:p>
        </w:tc>
      </w:tr>
      <w:tr>
        <w:tc>
          <w:tcPr>
            <w:tcW w:type="dxa" w:w="5040"/>
            <w:tcMar>
              <w:top w:w="40" w:type="dxa"/>
              <w:bottom w:w="40" w:type="dxa"/>
              <w:left w:w="80" w:type="dxa"/>
              <w:right w:w="80" w:type="dxa"/>
            </w:tcMar>
          </w:tcPr>
          <w:p>
            <w:r>
              <w:rPr>
                <w:sz w:val="18"/>
              </w:rPr>
              <w:t>Chữ ký / Signature:</w:t>
              <w:br/>
              <w:br/>
              <w:br/>
            </w:r>
          </w:p>
        </w:tc>
        <w:tc>
          <w:tcPr>
            <w:tcW w:type="dxa" w:w="5040"/>
            <w:tcMar>
              <w:top w:w="40" w:type="dxa"/>
              <w:bottom w:w="40" w:type="dxa"/>
              <w:left w:w="80" w:type="dxa"/>
              <w:right w:w="80" w:type="dxa"/>
            </w:tcMar>
          </w:tcPr>
          <w:p>
            <w:r>
              <w:rPr>
                <w:sz w:val="18"/>
              </w:rPr>
              <w:t>Chữ ký / Signature:</w:t>
              <w:br/>
              <w:br/>
              <w:br/>
            </w:r>
          </w:p>
        </w:tc>
      </w:tr>
      <w:tr>
        <w:tc>
          <w:tcPr>
            <w:tcW w:type="dxa" w:w="5040"/>
            <w:tcMar>
              <w:top w:w="40" w:type="dxa"/>
              <w:bottom w:w="40" w:type="dxa"/>
              <w:left w:w="80" w:type="dxa"/>
              <w:right w:w="80" w:type="dxa"/>
            </w:tcMar>
          </w:tcPr>
          <w:p>
            <w:r>
              <w:rPr>
                <w:sz w:val="18"/>
              </w:rPr>
              <w:t>Họ tên / Full name: __________________</w:t>
            </w:r>
          </w:p>
        </w:tc>
        <w:tc>
          <w:tcPr>
            <w:tcW w:type="dxa" w:w="5040"/>
            <w:tcMar>
              <w:top w:w="40" w:type="dxa"/>
              <w:bottom w:w="40" w:type="dxa"/>
              <w:left w:w="80" w:type="dxa"/>
              <w:right w:w="80" w:type="dxa"/>
            </w:tcMar>
          </w:tcPr>
          <w:p>
            <w:r>
              <w:rPr>
                <w:sz w:val="18"/>
              </w:rPr>
              <w:t>Họ tên / Full name: __________________</w:t>
            </w:r>
          </w:p>
        </w:tc>
      </w:tr>
      <w:tr>
        <w:tc>
          <w:tcPr>
            <w:tcW w:type="dxa" w:w="5040"/>
            <w:tcMar>
              <w:top w:w="40" w:type="dxa"/>
              <w:bottom w:w="40" w:type="dxa"/>
              <w:left w:w="80" w:type="dxa"/>
              <w:right w:w="80" w:type="dxa"/>
            </w:tcMar>
          </w:tcPr>
          <w:p>
            <w:r>
              <w:rPr>
                <w:sz w:val="18"/>
              </w:rPr>
              <w:t>Chức vụ / Position: __________________</w:t>
            </w:r>
          </w:p>
        </w:tc>
        <w:tc>
          <w:tcPr>
            <w:tcW w:type="dxa" w:w="5040"/>
            <w:tcMar>
              <w:top w:w="40" w:type="dxa"/>
              <w:bottom w:w="40" w:type="dxa"/>
              <w:left w:w="80" w:type="dxa"/>
              <w:right w:w="80" w:type="dxa"/>
            </w:tcMar>
          </w:tcPr>
          <w:p>
            <w:r>
              <w:rPr>
                <w:sz w:val="18"/>
              </w:rPr>
              <w:t>Chức vụ / Position: __________________</w:t>
            </w:r>
          </w:p>
        </w:tc>
      </w:tr>
      <w:tr>
        <w:tc>
          <w:tcPr>
            <w:tcW w:type="dxa" w:w="5040"/>
            <w:tcMar>
              <w:top w:w="40" w:type="dxa"/>
              <w:bottom w:w="40" w:type="dxa"/>
              <w:left w:w="80" w:type="dxa"/>
              <w:right w:w="80" w:type="dxa"/>
            </w:tcMar>
          </w:tcPr>
          <w:p>
            <w:r>
              <w:rPr>
                <w:sz w:val="18"/>
              </w:rPr>
              <w:t>Ngày / Date: __________________</w:t>
            </w:r>
          </w:p>
        </w:tc>
        <w:tc>
          <w:tcPr>
            <w:tcW w:type="dxa" w:w="5040"/>
            <w:tcMar>
              <w:top w:w="40" w:type="dxa"/>
              <w:bottom w:w="40" w:type="dxa"/>
              <w:left w:w="80" w:type="dxa"/>
              <w:right w:w="80" w:type="dxa"/>
            </w:tcMar>
          </w:tcPr>
          <w:p>
            <w:r>
              <w:rPr>
                <w:sz w:val="18"/>
              </w:rPr>
              <w:t>Ngày / Date: __________________</w:t>
            </w:r>
          </w:p>
        </w:tc>
      </w:tr>
    </w:tbl>
    <w:p>
      <w:pPr>
        <w:spacing w:before="160" w:after="80"/>
      </w:pPr>
      <w:r>
        <w:rPr>
          <w:i/>
        </w:rPr>
        <w:t>Lưu ý sử dụng / Usage note: Mẫu này cần được điền đầy đủ và ký trước khi thực hiện từng đơn hàng. Các điều khoản đặc thù về sản phẩm, thuế, nhãn hàng hóa, chứng từ nhập khẩu và Incoterms nên được kiểm tra cho từng giao dịch cụ thể.</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