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color w:val="1F4E79"/>
          <w:sz w:val="28"/>
        </w:rPr>
        <w:t>MASTER FRAMEWORK SALE OF GOODS AGREEMENT</w:t>
        <w:br/>
      </w:r>
      <w:r>
        <w:rPr>
          <w:rFonts w:ascii="Times New Roman" w:hAnsi="Times New Roman"/>
          <w:b/>
          <w:i w:val="0"/>
          <w:sz w:val="21"/>
        </w:rPr>
        <w:t>HỢP ĐỒNG NGUYÊN TẮC MUA BÁN HÀNG HÓA QUỐC TẾ DÀI HẠN (01 NĂM TỰ ĐỘNG GIA HẠN)</w:t>
        <w:br/>
      </w:r>
      <w:r>
        <w:rPr>
          <w:rFonts w:ascii="Times New Roman" w:hAnsi="Times New Roman"/>
          <w:b w:val="0"/>
          <w:i/>
          <w:sz w:val="18"/>
        </w:rPr>
        <w:t>Framework Agreement No.: GSSDIX_FRAMEWORK_2026  |  Date: 09/09/2026</w:t>
      </w:r>
    </w:p>
    <w:p>
      <w:pPr>
        <w:spacing w:before="80" w:after="80"/>
      </w:pPr>
      <w:r>
        <w:rPr>
          <w:rFonts w:ascii="Times New Roman" w:hAnsi="Times New Roman"/>
          <w:b w:val="0"/>
          <w:i/>
          <w:sz w:val="18"/>
        </w:rPr>
        <w:t>This Master Framework Sale of Goods Agreement is entered into on 09/09/2026 between GLOBAL SOLUTION SERVICE CO., LTD and DUANGMANEE IMPORT-EXPORT CO., LTD, establishing the continuing framework for supply of snack and food products.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5112"/>
        <w:gridCol w:w="5112"/>
      </w:tblGrid>
      <w:tr>
        <w:tc>
          <w:tcPr>
            <w:tcW w:type="dxa" w:w="4896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THE SELLER (BÊN BÁN)</w:t>
            </w:r>
          </w:p>
        </w:tc>
        <w:tc>
          <w:tcPr>
            <w:tcW w:type="dxa" w:w="4896"/>
            <w:shd w:fill="1F4E7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THE BUYER (BÊN MUA)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GLOBAL SOLUTION SERVICE CO., LTD</w:t>
              <w:br/>
            </w:r>
            <w:r>
              <w:rPr>
                <w:rFonts w:ascii="Times New Roman" w:hAnsi="Times New Roman"/>
                <w:b w:val="0"/>
                <w:i w:val="0"/>
                <w:sz w:val="17"/>
              </w:rPr>
              <w:t>Address: 18th Floor, CEO Tower, Plot HH2-1, Me Tri Ha New Urban Area, Pham Hung Street, Tu Liem Ward, Hanoi, Vietnam</w:t>
              <w:br/>
              <w:t>Tax Code: 0109469047</w:t>
              <w:br/>
              <w:t>Tel: (+84) 966688525</w:t>
              <w:br/>
              <w:t>Email: trungnv.gss@gmail.com / safetylife.1st@gmail.com</w:t>
              <w:br/>
              <w:t>Represented by: Mr. NGUYEN VAN TRUNG</w:t>
              <w:br/>
              <w:t>Position: Director</w:t>
              <w:br/>
              <w:t>USD Bank Account: 9489773866038</w:t>
              <w:br/>
              <w:t>Bank: MB Bank - Phung Hung Branch, Hanoi (SWIFT: MSCBVNVX)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/>
                <w:i w:val="0"/>
                <w:sz w:val="19"/>
              </w:rPr>
              <w:t>DUANGMANEE IMPORT-EXPORT CO., LTD</w:t>
              <w:br/>
            </w:r>
            <w:r>
              <w:rPr>
                <w:rFonts w:ascii="Times New Roman" w:hAnsi="Times New Roman"/>
                <w:b w:val="0"/>
                <w:i w:val="0"/>
                <w:sz w:val="17"/>
              </w:rPr>
              <w:t>Address: 1/18 Wongkhampan Road, Mueang Mukdahan District, Mukdahan Province 49000, Thailand</w:t>
              <w:br/>
              <w:t>Tax Code: 0495562000281</w:t>
              <w:br/>
              <w:t>Tel: (+66) 619474964</w:t>
              <w:br/>
              <w:t>Email: duangmaanee4669@gmail.com</w:t>
              <w:br/>
              <w:t>Represented by: Miss. PARINNDA BOONSRI</w:t>
              <w:br/>
              <w:t>Position: Director</w:t>
              <w:br/>
              <w:t>Bank: Kasikornbank Public Company Limited (KBank), Thailand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i w:val="0"/>
          <w:color w:val="1F4E79"/>
          <w:sz w:val="20"/>
        </w:rPr>
        <w:t>ARTICLE 1: THREE-TIER PRODUCT CATALOG (MIRRORING VERIFIED FACTORY CAPACITY)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Tier / No.</w:t>
            </w:r>
          </w:p>
        </w:tc>
        <w:tc>
          <w:tcPr>
            <w:tcW w:type="dxa" w:w="2592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Product Group &amp; Trade Name</w:t>
            </w:r>
          </w:p>
        </w:tc>
        <w:tc>
          <w:tcPr>
            <w:tcW w:type="dxa" w:w="1296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HS Code</w:t>
            </w:r>
          </w:p>
        </w:tc>
        <w:tc>
          <w:tcPr>
            <w:tcW w:type="dxa" w:w="3024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Standard Packaging &amp; Technical Specs</w:t>
            </w:r>
          </w:p>
        </w:tc>
        <w:tc>
          <w:tcPr>
            <w:tcW w:type="dxa" w:w="1728"/>
            <w:shd w:fill="1F4E7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Commercial Role &amp; Notes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Tier 1</w:t>
              <w:br/>
              <w:t>(Core)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Snack food, crispy stick</w:t>
              <w:br/>
              <w:t>(Snack Quay Gion Gion)</w:t>
              <w:br/>
              <w:t>Snack Quẩy Giòn Giòn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19059090</w:t>
              <w:br/>
              <w:t>(1905.90.90)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22g/cup, 300 cups/carton (30 cups x 10 bags/box)</w:t>
              <w:br/>
              <w:t>Carton size: 585 x 270 x 497 mm</w:t>
              <w:br/>
              <w:t>5-ply export corrugated carton box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Core Flagship Product</w:t>
              <w:br/>
              <w:t>(Regular bulk export batches)</w:t>
            </w:r>
          </w:p>
        </w:tc>
      </w:tr>
      <w:tr>
        <w:tc>
          <w:tcPr>
            <w:tcW w:type="dxa" w:w="1152"/>
            <w:shd w:fill="F9FAFB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Tier 2</w:t>
              <w:br/>
              <w:t>(Secondary)</w:t>
            </w:r>
          </w:p>
        </w:tc>
        <w:tc>
          <w:tcPr>
            <w:tcW w:type="dxa" w:w="2592"/>
            <w:shd w:fill="F9FAFB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Other Processed Snack Foods</w:t>
              <w:br/>
              <w:t>Các loại bánh snack chế biến khác</w:t>
            </w:r>
          </w:p>
        </w:tc>
        <w:tc>
          <w:tcPr>
            <w:tcW w:type="dxa" w:w="1296"/>
            <w:shd w:fill="F9FAFB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19059090</w:t>
            </w:r>
          </w:p>
        </w:tc>
        <w:tc>
          <w:tcPr>
            <w:tcW w:type="dxa" w:w="3024"/>
            <w:shd w:fill="F9FAFB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Export carton packing; specifications established in each individual confirmed Purchase Order (PO)</w:t>
            </w:r>
          </w:p>
        </w:tc>
        <w:tc>
          <w:tcPr>
            <w:tcW w:type="dxa" w:w="1728"/>
            <w:shd w:fill="F9FAFB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Secondary Product Line</w:t>
              <w:br/>
              <w:t>(Per Buyer's seasonal demand)</w:t>
            </w:r>
          </w:p>
        </w:tc>
      </w:tr>
      <w:tr>
        <w:tc>
          <w:tcPr>
            <w:tcW w:type="dxa" w:w="115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Tier 3</w:t>
              <w:br/>
              <w:t>(Extended)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Other Pre-Packaged Foodstuffs</w:t>
              <w:br/>
              <w:t>Thực phẩm bao gói sẵn khác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Per actual tariff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Food safety certified; packaging &amp; labeling confirmed in specific POs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Extended Line</w:t>
              <w:br/>
              <w:t>(Future trade expansion)</w:t>
            </w:r>
          </w:p>
        </w:tc>
      </w:tr>
    </w:tbl>
    <w:p>
      <w:pPr>
        <w:spacing w:before="120" w:after="20"/>
      </w:pPr>
      <w:r>
        <w:rPr>
          <w:rFonts w:ascii="Times New Roman" w:hAnsi="Times New Roman"/>
          <w:b/>
          <w:i w:val="0"/>
          <w:color w:val="1F4E79"/>
          <w:sz w:val="19"/>
        </w:rPr>
        <w:t>ARTICLE 2: INDIVIDUAL PURCHASE ORDER (PO) ORDERING MECHANISM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17"/>
        </w:rPr>
        <w:t>- Specific order quantities, unit prices, shipment dates, and total values are established exclusively through individual Purchase Orders (PO) / Sales Contract Addenda signed by both Parties.</w:t>
        <w:br/>
        <w:t>- Each PO is an integral, legally binding part of this Master Agreement.</w:t>
        <w:br/>
        <w:t>- Delivery Term: Standard FCA LAO BAO BORDER GATE (Incoterms 2020).</w:t>
        <w:br/>
        <w:t>- Currency: USD settled via T/T to Seller's MB Bank Account 9489773866038 (SWIFT: MSCBVNVX).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F4E79"/>
          <w:sz w:val="19"/>
        </w:rPr>
        <w:t>ARTICLE 3: DURATION &amp; AUTOMATIC RENEWAL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17"/>
        </w:rPr>
        <w:t>3.1. Valid for an initial term of 01 (ONE) YEAR from 09/09/2026 to 08/09/2027.</w:t>
        <w:br/>
        <w:t>3.2. Automatically renewable annually for successive 1-year terms unless 30 days prior written notice of termination is given.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F4E79"/>
          <w:sz w:val="19"/>
        </w:rPr>
        <w:t>ARTICLE 4: GOVERNING LAW &amp; ARBITRATION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17"/>
        </w:rPr>
        <w:t>Governed by the laws of Vietnam. Final settlement by VIAC in Hanoi, in the English language.</w:t>
      </w:r>
    </w:p>
    <w:p>
      <w:pPr>
        <w:spacing w:before="20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FOR AND ON BEHALF OF THE SELLER</w:t>
              <w:br/>
              <w:t>GLOBAL SOLUTION SERVICE CO., LTD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(Duly authorized signature and company seal)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FOR AND ON BEHALF OF THE BUYER</w:t>
              <w:br/>
              <w:t>DUANGMANEE IMPORT-EXPORT CO., LTD</w:t>
              <w:br/>
            </w:r>
            <w:r>
              <w:rPr>
                <w:rFonts w:ascii="Times New Roman" w:hAnsi="Times New Roman"/>
                <w:b w:val="0"/>
                <w:i/>
                <w:sz w:val="17"/>
              </w:rPr>
              <w:t>(Duly authorized signature and company seal)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90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br/>
              <w:br/>
              <w:t>______________________________</w:t>
              <w:br/>
              <w:t>NGUYEN VAN TRUNG</w:t>
              <w:br/>
              <w:t>Director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90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br/>
              <w:br/>
              <w:t>______________________________</w:t>
              <w:br/>
              <w:t>PARINNDA BOONSRI</w:t>
              <w:br/>
              <w:t>Director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