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CỘNG HÒA XÃ HỘI CHỦ NGHĨA VIỆT NAM</w:t>
        <w:br/>
      </w:r>
      <w:r>
        <w:rPr>
          <w:rFonts w:ascii="Times New Roman" w:hAnsi="Times New Roman"/>
          <w:b/>
          <w:i w:val="0"/>
          <w:sz w:val="22"/>
        </w:rPr>
        <w:t>Độc lập - Tự do - Hạnh phúc</w:t>
        <w:br/>
      </w:r>
      <w:r>
        <w:rPr>
          <w:rFonts w:ascii="Times New Roman" w:hAnsi="Times New Roman"/>
          <w:b w:val="0"/>
          <w:i w:val="0"/>
          <w:sz w:val="20"/>
        </w:rPr>
        <w:t>----- *** -----</w:t>
        <w:br/>
        <w:br/>
      </w:r>
      <w:r>
        <w:rPr>
          <w:rFonts w:ascii="Times New Roman" w:hAnsi="Times New Roman"/>
          <w:b/>
          <w:i w:val="0"/>
          <w:sz w:val="28"/>
        </w:rPr>
        <w:t>PHỤ LỤC HỢP ĐỒNG KIÊM ĐƠN ĐẶT HÀNG SỐ 01</w:t>
        <w:br/>
      </w:r>
      <w:r>
        <w:rPr>
          <w:rFonts w:ascii="Times New Roman" w:hAnsi="Times New Roman"/>
          <w:b w:val="0"/>
          <w:i/>
          <w:sz w:val="20"/>
        </w:rPr>
        <w:t>(Kèm theo Hợp đồng nguyên tắc số 269901/HĐNT/TL-GSS ngày 16/09/2026)</w:t>
        <w:br/>
        <w:t>(Phục vụ thực hiện Đơn hàng xuất khẩu theo HĐ Ngoại thương số GSSDIX_FCA_269901)</w:t>
        <w:br/>
      </w:r>
    </w:p>
    <w:p>
      <w:r>
        <w:rPr>
          <w:rFonts w:ascii="Times New Roman" w:hAnsi="Times New Roman"/>
          <w:b w:val="0"/>
          <w:i w:val="0"/>
          <w:sz w:val="22"/>
        </w:rPr>
        <w:t>Hôm nay, ngày 16 tháng 09 năm 2026, căn cứ Hợp đồng nguyên tắc số 269901/HĐNT/TL-GSS, hai bên chúng tôi gồm có:</w:t>
        <w:br/>
      </w:r>
      <w:r>
        <w:rPr>
          <w:rFonts w:ascii="Times New Roman" w:hAnsi="Times New Roman"/>
          <w:b/>
          <w:i w:val="0"/>
          <w:sz w:val="22"/>
        </w:rPr>
        <w:t>• BÊN BÁN (BÊN A): CÔNG TY TNHH ĐẦU TƯ THƯƠNG MẠI CÔNG NGHIỆP THIÊN LONG</w:t>
        <w:br/>
      </w:r>
      <w:r>
        <w:rPr>
          <w:rFonts w:ascii="Times New Roman" w:hAnsi="Times New Roman"/>
          <w:b w:val="0"/>
          <w:i w:val="0"/>
          <w:sz w:val="21"/>
        </w:rPr>
        <w:t xml:space="preserve">  Đại diện: Bà Đặng Thị Thu Hương – Giám Đốc | MST: 5400512548</w:t>
        <w:br/>
        <w:t xml:space="preserve">  Địa chỉ: Tổ dân phố Trường Sơn, Xã Lương Sơn, Tỉnh Phú Thọ | TK Vietinbank: 116002807693 tại Vietinbank – CN Thành An</w:t>
        <w:br/>
      </w:r>
      <w:r>
        <w:rPr>
          <w:rFonts w:ascii="Times New Roman" w:hAnsi="Times New Roman"/>
          <w:b/>
          <w:i w:val="0"/>
          <w:sz w:val="22"/>
        </w:rPr>
        <w:t>• BÊN MUA (BÊN B): CÔNG TY TNHH GLOBAL SOLUTION SERVICE (G-SS CO.,LTD)</w:t>
        <w:br/>
      </w:r>
      <w:r>
        <w:rPr>
          <w:rFonts w:ascii="Times New Roman" w:hAnsi="Times New Roman"/>
          <w:b w:val="0"/>
          <w:i w:val="0"/>
          <w:sz w:val="21"/>
        </w:rPr>
        <w:t xml:space="preserve">  Đại diện: Ông NGUYỄN VĂN TRUNG – Giám Đốc | MST: 0109469047 | Hotline: 0966688525</w:t>
        <w:br/>
        <w:t xml:space="preserve">  Trụ sở chính: Tầng 18, tòa nhà CEO Tower, Lô HH2-1, Khu đô thị Mễ Trì Hạ, đường Phạm Hùng, Phường Từ Liêm, Thành phố Hà Nội</w:t>
        <w:br/>
        <w:t xml:space="preserve">  Email nhận HĐĐT &amp; chứng từ: safetylife.1st@gmail.com (Kế toán) — trungnv.gss@gmail.com (Giám đốc)</w:t>
        <w:br/>
        <w:t xml:space="preserve">  Tài khoản thanh toán VND: 2991116668888 tại Ngân hàng TMCP Quân Đội (MB Bank) – Chi nhánh Phùng Hưng, Hà Nội</w:t>
        <w:br/>
      </w:r>
      <w:r>
        <w:rPr>
          <w:rFonts w:ascii="Times New Roman" w:hAnsi="Times New Roman"/>
          <w:b w:val="0"/>
          <w:i w:val="0"/>
          <w:sz w:val="22"/>
        </w:rPr>
        <w:t>Hai bên cùng thỏa thuận và thống nhất ký kết Phụ lục hợp đồng kiêm Đơn đặt hàng số 01 với các nội dung chi tiết như sau:</w:t>
      </w:r>
    </w:p>
    <w:p>
      <w:r>
        <w:rPr>
          <w:rFonts w:ascii="Times New Roman" w:hAnsi="Times New Roman"/>
          <w:b/>
          <w:i w:val="0"/>
          <w:sz w:val="23"/>
        </w:rPr>
        <w:br/>
        <w:t>1. CHI TIẾT ĐƠN ĐẶT HÀNG &amp; GIÁ TRỊ THANH TOÁN</w:t>
      </w:r>
    </w:p>
    <w:tbl>
      <w:tblPr>
        <w:tblW w:type="auto" w:w="0"/>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720"/>
        <w:gridCol w:w="3168"/>
        <w:gridCol w:w="1296"/>
        <w:gridCol w:w="864"/>
        <w:gridCol w:w="1008"/>
        <w:gridCol w:w="1584"/>
        <w:gridCol w:w="1728"/>
      </w:tblGrid>
      <w:tr>
        <w:tc>
          <w:tcPr>
            <w:tcW w:type="dxa" w:w="1419"/>
            <w:shd w:fill="F2F2F2"/>
            <w:tcMar>
              <w:top w:w="60" w:type="dxa"/>
              <w:bottom w:w="60" w:type="dxa"/>
              <w:left w:w="80" w:type="dxa"/>
              <w:right w:w="80" w:type="dxa"/>
            </w:tcMar>
          </w:tcPr>
          <w:p>
            <w:pPr>
              <w:jc w:val="center"/>
            </w:pPr>
            <w:r>
              <w:rPr>
                <w:rFonts w:ascii="Times New Roman" w:hAnsi="Times New Roman"/>
                <w:b/>
                <w:i w:val="0"/>
                <w:sz w:val="19"/>
              </w:rPr>
              <w:t>STT</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Tên hàng hóa quy chuẩn</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Mã HS</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ĐVT</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Số lượng</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Đơn giá chưa VAT (VNĐ)</w:t>
            </w:r>
          </w:p>
        </w:tc>
        <w:tc>
          <w:tcPr>
            <w:tcW w:type="dxa" w:w="1419"/>
            <w:shd w:fill="F2F2F2"/>
            <w:tcMar>
              <w:top w:w="60" w:type="dxa"/>
              <w:bottom w:w="60" w:type="dxa"/>
              <w:left w:w="80" w:type="dxa"/>
              <w:right w:w="80" w:type="dxa"/>
            </w:tcMar>
          </w:tcPr>
          <w:p>
            <w:pPr>
              <w:jc w:val="center"/>
            </w:pPr>
            <w:r>
              <w:rPr>
                <w:rFonts w:ascii="Times New Roman" w:hAnsi="Times New Roman"/>
                <w:b/>
                <w:i w:val="0"/>
                <w:sz w:val="19"/>
              </w:rPr>
              <w:t>Thành tiền chưa VAT (VNĐ)</w:t>
            </w:r>
          </w:p>
        </w:tc>
      </w:tr>
      <w:tr>
        <w:tc>
          <w:tcPr>
            <w:tcW w:type="dxa" w:w="1419"/>
            <w:tcMar>
              <w:top w:w="60" w:type="dxa"/>
              <w:bottom w:w="60" w:type="dxa"/>
              <w:left w:w="80" w:type="dxa"/>
              <w:right w:w="80" w:type="dxa"/>
            </w:tcMar>
          </w:tcPr>
          <w:p>
            <w:pPr>
              <w:jc w:val="center"/>
            </w:pPr>
            <w:r>
              <w:rPr>
                <w:rFonts w:ascii="Times New Roman" w:hAnsi="Times New Roman"/>
                <w:b w:val="0"/>
                <w:i w:val="0"/>
                <w:sz w:val="19"/>
              </w:rPr>
              <w:t>1</w:t>
            </w:r>
          </w:p>
        </w:tc>
        <w:tc>
          <w:tcPr>
            <w:tcW w:type="dxa" w:w="1419"/>
            <w:tcMar>
              <w:top w:w="60" w:type="dxa"/>
              <w:bottom w:w="60" w:type="dxa"/>
              <w:left w:w="80" w:type="dxa"/>
              <w:right w:w="80" w:type="dxa"/>
            </w:tcMar>
          </w:tcPr>
          <w:p>
            <w:r>
              <w:rPr>
                <w:rFonts w:ascii="Times New Roman" w:hAnsi="Times New Roman"/>
                <w:b w:val="0"/>
                <w:i w:val="0"/>
                <w:sz w:val="19"/>
              </w:rPr>
              <w:t>Snack Quẩy Giòn Giòn</w:t>
              <w:br/>
              <w:t>(Quy cách: 22g/cốc, 300 cốc/thùng)</w:t>
            </w:r>
          </w:p>
        </w:tc>
        <w:tc>
          <w:tcPr>
            <w:tcW w:type="dxa" w:w="1419"/>
            <w:tcMar>
              <w:top w:w="60" w:type="dxa"/>
              <w:bottom w:w="60" w:type="dxa"/>
              <w:left w:w="80" w:type="dxa"/>
              <w:right w:w="80" w:type="dxa"/>
            </w:tcMar>
          </w:tcPr>
          <w:p>
            <w:pPr>
              <w:jc w:val="center"/>
            </w:pPr>
            <w:r>
              <w:rPr>
                <w:rFonts w:ascii="Times New Roman" w:hAnsi="Times New Roman"/>
                <w:b w:val="0"/>
                <w:i w:val="0"/>
                <w:sz w:val="19"/>
              </w:rPr>
              <w:t>1905.90.90</w:t>
            </w:r>
          </w:p>
        </w:tc>
        <w:tc>
          <w:tcPr>
            <w:tcW w:type="dxa" w:w="1419"/>
            <w:tcMar>
              <w:top w:w="60" w:type="dxa"/>
              <w:bottom w:w="60" w:type="dxa"/>
              <w:left w:w="80" w:type="dxa"/>
              <w:right w:w="80" w:type="dxa"/>
            </w:tcMar>
          </w:tcPr>
          <w:p>
            <w:pPr>
              <w:jc w:val="center"/>
            </w:pPr>
            <w:r>
              <w:rPr>
                <w:rFonts w:ascii="Times New Roman" w:hAnsi="Times New Roman"/>
                <w:b w:val="0"/>
                <w:i w:val="0"/>
                <w:sz w:val="19"/>
              </w:rPr>
              <w:t>Thùng</w:t>
            </w:r>
          </w:p>
        </w:tc>
        <w:tc>
          <w:tcPr>
            <w:tcW w:type="dxa" w:w="1419"/>
            <w:tcMar>
              <w:top w:w="60" w:type="dxa"/>
              <w:bottom w:w="60" w:type="dxa"/>
              <w:left w:w="80" w:type="dxa"/>
              <w:right w:w="80" w:type="dxa"/>
            </w:tcMar>
          </w:tcPr>
          <w:p>
            <w:pPr>
              <w:jc w:val="center"/>
            </w:pPr>
            <w:r>
              <w:rPr>
                <w:rFonts w:ascii="Times New Roman" w:hAnsi="Times New Roman"/>
                <w:b w:val="0"/>
                <w:i w:val="0"/>
                <w:sz w:val="19"/>
              </w:rPr>
              <w:t>1.300</w:t>
            </w:r>
          </w:p>
        </w:tc>
        <w:tc>
          <w:tcPr>
            <w:tcW w:type="dxa" w:w="1419"/>
            <w:tcMar>
              <w:top w:w="60" w:type="dxa"/>
              <w:bottom w:w="60" w:type="dxa"/>
              <w:left w:w="80" w:type="dxa"/>
              <w:right w:w="80" w:type="dxa"/>
            </w:tcMar>
          </w:tcPr>
          <w:p>
            <w:pPr>
              <w:jc w:val="right"/>
            </w:pPr>
            <w:r>
              <w:rPr>
                <w:rFonts w:ascii="Times New Roman" w:hAnsi="Times New Roman"/>
                <w:b w:val="0"/>
                <w:i w:val="0"/>
                <w:sz w:val="19"/>
              </w:rPr>
              <w:t>337.000</w:t>
            </w:r>
          </w:p>
        </w:tc>
        <w:tc>
          <w:tcPr>
            <w:tcW w:type="dxa" w:w="1419"/>
            <w:tcMar>
              <w:top w:w="60" w:type="dxa"/>
              <w:bottom w:w="60" w:type="dxa"/>
              <w:left w:w="80" w:type="dxa"/>
              <w:right w:w="80" w:type="dxa"/>
            </w:tcMar>
          </w:tcPr>
          <w:p>
            <w:pPr>
              <w:jc w:val="right"/>
            </w:pPr>
            <w:r>
              <w:rPr>
                <w:rFonts w:ascii="Times New Roman" w:hAnsi="Times New Roman"/>
                <w:b w:val="0"/>
                <w:i w:val="0"/>
                <w:sz w:val="19"/>
              </w:rPr>
              <w:t>438.100.000</w:t>
            </w:r>
          </w:p>
        </w:tc>
      </w:tr>
    </w:tbl>
    <w:p>
      <w:pPr>
        <w:spacing w:before="80"/>
      </w:pPr>
      <w:r>
        <w:rPr>
          <w:rFonts w:ascii="Times New Roman" w:hAnsi="Times New Roman"/>
          <w:b w:val="0"/>
          <w:i w:val="0"/>
          <w:sz w:val="21"/>
        </w:rPr>
        <w:t xml:space="preserve">• Cộng tiền hàng chưa thuế GTGT: </w:t>
      </w:r>
      <w:r>
        <w:rPr>
          <w:rFonts w:ascii="Times New Roman" w:hAnsi="Times New Roman"/>
          <w:b/>
          <w:i w:val="0"/>
          <w:sz w:val="21"/>
        </w:rPr>
        <w:t>438.100.000 VNĐ</w:t>
        <w:br/>
      </w:r>
      <w:r>
        <w:rPr>
          <w:rFonts w:ascii="Times New Roman" w:hAnsi="Times New Roman"/>
          <w:b w:val="0"/>
          <w:i w:val="0"/>
          <w:sz w:val="21"/>
        </w:rPr>
        <w:t xml:space="preserve">• Thuế suất thuế GTGT (8% theo Nghị định 72/2024/NĐ-CP): </w:t>
      </w:r>
      <w:r>
        <w:rPr>
          <w:rFonts w:ascii="Times New Roman" w:hAnsi="Times New Roman"/>
          <w:b/>
          <w:i w:val="0"/>
          <w:sz w:val="21"/>
        </w:rPr>
        <w:t>35.048.000 VNĐ</w:t>
        <w:br/>
      </w:r>
      <w:r>
        <w:rPr>
          <w:rFonts w:ascii="Times New Roman" w:hAnsi="Times New Roman"/>
          <w:b/>
          <w:i w:val="0"/>
          <w:sz w:val="22"/>
        </w:rPr>
        <w:t xml:space="preserve">• TỔNG CỘNG GIÁ TRỊ THANH TOÁN ĐÃ BAO GỒM VAT 8%: </w:t>
      </w:r>
      <w:r>
        <w:rPr>
          <w:rFonts w:ascii="Times New Roman" w:hAnsi="Times New Roman"/>
          <w:b/>
          <w:i w:val="0"/>
          <w:color w:val="002060"/>
          <w:sz w:val="22"/>
        </w:rPr>
        <w:t>473.148.000 VNĐ</w:t>
        <w:br/>
      </w:r>
      <w:r>
        <w:rPr>
          <w:rFonts w:ascii="Times New Roman" w:hAnsi="Times New Roman"/>
          <w:b w:val="0"/>
          <w:i/>
          <w:sz w:val="21"/>
        </w:rPr>
        <w:t>• Số tiền viết bằng chữ: Bốn trăm bảy mươi ba triệu một trăm bốn mươi tám nghìn đồng.</w:t>
        <w:br/>
      </w:r>
    </w:p>
    <w:p>
      <w:r>
        <w:rPr>
          <w:rFonts w:ascii="Times New Roman" w:hAnsi="Times New Roman"/>
          <w:b/>
          <w:i w:val="0"/>
          <w:sz w:val="23"/>
        </w:rPr>
        <w:t>2. THỜI GIAN, ĐỊA ĐIỂM VÀ PHƯƠNG THỨC GIAO NHẬN</w:t>
        <w:br/>
      </w:r>
      <w:r>
        <w:rPr>
          <w:rFonts w:ascii="Times New Roman" w:hAnsi="Times New Roman"/>
          <w:b w:val="0"/>
          <w:i w:val="0"/>
          <w:sz w:val="21"/>
        </w:rPr>
        <w:t>2.1. Thời gian chuẩn bị hàng: Bên A hoàn thành công tác sản xuất, đóng gói đủ 1.300 thùng hàng trong vòng 03 - 05 ngày làm việc kể từ ngày nhận được khoản tạm ứng đợt 1 của Bên B. Sau khi nhận được khoản tiền hàng đợt 2 bên A sẽ lập tức tiến hành giao hàng cho bên B.</w:t>
        <w:br/>
        <w:t>2.2. Thời gian và Phương tiện giao nhận: Bên B điều động phương tiện vận tải do Bên B chỉ định hoặc ủy thác vào bốc hàng tại Cửa kho Nhà máy Bên A (tỉnh Phú Thọ). Bên B sẽ thông báo biển số xe và thời gian xe đến trước tối thiểu 02 (hai) giờ để Bên A chủ động bố trí nhân lực bốc xếp.</w:t>
        <w:br/>
        <w:t>2.3. Bốc dỡ &amp; Bàn giao: Bên A chịu trách nhiệm bốc xếp toàn bộ 1.300 thùng hàng lên phương tiện vận tải an toàn; hai bên tiến hành kiểm đếm thực tế và ký kết Biên bản bàn giao hàng hóa (BBBG) kèm Phiếu xuất kho của Bên A tại kho.</w:t>
        <w:br/>
        <w:br/>
      </w:r>
      <w:r>
        <w:rPr>
          <w:rFonts w:ascii="Times New Roman" w:hAnsi="Times New Roman"/>
          <w:b/>
          <w:i w:val="0"/>
          <w:sz w:val="23"/>
        </w:rPr>
        <w:t>3. TIẾN ĐỘ THANH TOÁN 2 ĐỢT QUA NGÂN HÀNG (30% - 70%)</w:t>
        <w:br/>
      </w:r>
      <w:r>
        <w:rPr>
          <w:rFonts w:ascii="Times New Roman" w:hAnsi="Times New Roman"/>
          <w:b w:val="0"/>
          <w:i w:val="0"/>
          <w:sz w:val="21"/>
        </w:rPr>
        <w:t>3.1. Đợt 1 (Tạm ứng cọc 30% sản xuất): Bên B chuyển khoản 141.944.400 VNĐ (Một trăm bốn mươi mốt triệu chín trăm bốn mươi tư nghìn bốn trăm đồng) trong vòng 01 ngày làm việc sau khi hai bên ký Phụ lục này để Bên A triển khai công tác sản xuất và đóng gói.</w:t>
        <w:br/>
        <w:t>3.2. Đợt 2 (Thanh toán 70% trước khi giao hàng): Bên B chuyển khoản 331.203.600 VNĐ (Ba trăm ba mươi mốt triệu hai trăm lẻ ba nghìn sáu trăm đồng) trước khi xe hàng của bên B đến kho của bên A bốc hàng.</w:t>
        <w:br/>
        <w:br/>
      </w:r>
      <w:r>
        <w:rPr>
          <w:rFonts w:ascii="Times New Roman" w:hAnsi="Times New Roman"/>
          <w:b/>
          <w:i w:val="0"/>
          <w:sz w:val="23"/>
        </w:rPr>
        <w:t>4. TRỌN BỘ HỒ SƠ PHÁP LÝ BÀN GIAO PHỤC VỤ THÔNG QUAN, C/O FORM D VÀ HOÀN THUẾ</w:t>
        <w:br/>
      </w:r>
      <w:r>
        <w:rPr>
          <w:rFonts w:ascii="Times New Roman" w:hAnsi="Times New Roman"/>
          <w:b w:val="0"/>
          <w:i w:val="0"/>
          <w:sz w:val="20"/>
        </w:rPr>
        <w:t>Để phục vụ công tác thông quan xuất khẩu, cấp Giấy chứng nhận xuất xứ hàng hóa C/O Form D và xét duyệt hồ sơ hoàn thuế GTGT 8% ... của Bên B, Bên A có trách nhiệm bàn giao trọn bộ 07 hạng mục chứng từ sau:</w:t>
        <w:br/>
        <w:t>• 01. Hợp đồng mua bán nội địa &amp; Phụ lục Đơn đặt hàng số 01: Bản gốc có đầy đủ chữ ký và dấu pháp nhân của hai bên.</w:t>
        <w:br/>
        <w:t>• 02. Hóa đơn GTGT điện tử hợp pháp: Bản thể hiện PDF kèm file gốc XML, tên hàng chuẩn: 'Snack Quẩy Giòn Giòn', thuế suất 8%, đúng MST 0109469047 và tra cứu hợp lệ gửi file XML+PDF về email safetylife.1st@gmail.com và tra cứu hợp lệ trên hoadondientu.gdt.gov.vn.</w:t>
        <w:br/>
        <w:t>• 03. Biên bản giao nhận hàng hóa &amp; Phiếu xuất kho: BBBG kiểm đếm đủ 1.300 thùng kèm Phiếu xuất kho kiêm vận chuyển nội bộ / Phiếu xuất kho có mộc đỏ của Bên A.</w:t>
        <w:br/>
        <w:t>• 04. Bảng kê chi tiết đóng gói nội địa (Packing List): Bản gốc thể hiện 1.300 thùng, quy cách 22g/Cốc, 300 cốc/thùng, Net Weight, Gross Weight, và thể tích CBM.</w:t>
        <w:br/>
        <w:t>• 05. Giấy chứng nhận đủ điều kiện An toàn thực phẩm: 01 bản sao chứng thực còn hiệu lực của nhà máy sản xuất Bên A (hoặc ISO 22000).</w:t>
        <w:br/>
        <w:t>• 06. Bản tự công bố chất lượng sản phẩm &amp; Phiếu kiểm nghiệm: Bản tự công bố hợp quy kèm Phiếu kết quả kiểm nghiệm an toàn thực phẩm còn hạn hiệu lực.</w:t>
        <w:br/>
        <w:t>• 07. Bảng kê giải trình xuất xứ hàng hóa phục vụ làm C/O Form D: Bản cam kết xuất xứ của nhà sản xuất (Manufacturer's Declaration). Đồng thời Bên A phối hợp cung cấp hồ sơ kiểm nghiệm lô hàng nếu cơ quan thẩm quyền yêu cầu Health Certificate (HC) hoặc CFS.</w:t>
        <w:br/>
      </w:r>
    </w:p>
    <w:tbl>
      <w:tblPr>
        <w:tblW w:type="auto" w:w="0"/>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4896"/>
        <w:gridCol w:w="4896"/>
      </w:tblGrid>
      <w:tr>
        <w:tc>
          <w:tcPr>
            <w:tcW w:type="dxa" w:w="4968"/>
          </w:tcPr>
          <w:p>
            <w:pPr>
              <w:jc w:val="center"/>
            </w:pPr>
            <w:r>
              <w:rPr>
                <w:rFonts w:ascii="Times New Roman" w:hAnsi="Times New Roman"/>
                <w:b/>
                <w:i w:val="0"/>
                <w:sz w:val="22"/>
              </w:rPr>
              <w:t>ĐẠI DIỆN BÊN A (BÊN BÁN)</w:t>
              <w:br/>
              <w:t>(Ký tên, đóng dấu)</w:t>
            </w:r>
          </w:p>
        </w:tc>
        <w:tc>
          <w:tcPr>
            <w:tcW w:type="dxa" w:w="4968"/>
          </w:tcPr>
          <w:p>
            <w:pPr>
              <w:jc w:val="center"/>
            </w:pPr>
            <w:r>
              <w:rPr>
                <w:rFonts w:ascii="Times New Roman" w:hAnsi="Times New Roman"/>
                <w:b/>
                <w:i w:val="0"/>
                <w:sz w:val="22"/>
              </w:rPr>
              <w:t>ĐẠI DIỆN BÊN B (BÊN MUA)</w:t>
              <w:br/>
              <w:t>(Ký tên, đóng dấu)</w:t>
            </w:r>
          </w:p>
        </w:tc>
      </w:tr>
      <w:tr>
        <w:tc>
          <w:tcPr>
            <w:tcW w:type="dxa" w:w="4968"/>
          </w:tcPr>
          <w:p>
            <w:pPr>
              <w:jc w:val="center"/>
            </w:pPr>
            <w:r>
              <w:rPr>
                <w:rFonts w:ascii="Times New Roman" w:hAnsi="Times New Roman"/>
                <w:b/>
                <w:i w:val="0"/>
                <w:sz w:val="22"/>
              </w:rPr>
              <w:br/>
              <w:br/>
              <w:br/>
              <w:br/>
              <w:t>ĐẶNG THỊ THU HƯƠNG</w:t>
              <w:br/>
              <w:t>Giám Đốc</w:t>
            </w:r>
          </w:p>
        </w:tc>
        <w:tc>
          <w:tcPr>
            <w:tcW w:type="dxa" w:w="4968"/>
          </w:tcPr>
          <w:p>
            <w:pPr>
              <w:jc w:val="center"/>
            </w:pPr>
            <w:r>
              <w:rPr>
                <w:rFonts w:ascii="Times New Roman" w:hAnsi="Times New Roman"/>
                <w:b/>
                <w:i w:val="0"/>
                <w:sz w:val="22"/>
              </w:rPr>
              <w:br/>
              <w:br/>
              <w:br/>
              <w:br/>
              <w:t>NGUYỄN VĂN TRUNG</w:t>
              <w:br/>
              <w:t>Giám Đốc</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