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17"/>
        </w:rPr>
        <w:t>Căn cứ Điều 6 Thông tư số 22/2016/TT-BCT</w:t>
      </w: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06/BT-RVC/2026/GSS-XNK</w:t>
              <w:br/>
            </w:r>
            <w:r>
              <w:rPr>
                <w:rFonts w:ascii="Times New Roman" w:hAnsi="Times New Roman"/>
                <w:b w:val="0"/>
                <w:i/>
                <w:sz w:val="17"/>
              </w:rPr>
              <w:t>V/v: Bảng tính hàm lượng giá trị khu vực (RVC) cho lô hàng 1.300 thùng</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18 tháng 09 năm 2026</w:t>
            </w:r>
          </w:p>
        </w:tc>
      </w:tr>
    </w:tbl>
    <w:p>
      <w:pPr>
        <w:spacing w:before="280" w:after="120"/>
        <w:jc w:val="center"/>
      </w:pPr>
      <w:r>
        <w:rPr>
          <w:rFonts w:ascii="Times New Roman" w:hAnsi="Times New Roman"/>
          <w:b/>
          <w:i w:val="0"/>
          <w:color w:val="002060"/>
          <w:sz w:val="25"/>
        </w:rPr>
        <w:t>BẢNG TÍNH HÀM LƯỢNG GIÁ TRỊ KHU VỰC (RVC)</w:t>
        <w:br/>
        <w:t>(REGIONAL VALUE CONTENT CALCULATION)</w:t>
      </w:r>
    </w:p>
    <w:p>
      <w:pPr>
        <w:spacing w:after="200"/>
        <w:jc w:val="center"/>
      </w:pPr>
      <w:r>
        <w:rPr>
          <w:rFonts w:ascii="Times New Roman" w:hAnsi="Times New Roman"/>
          <w:b/>
          <w:i w:val="0"/>
          <w:sz w:val="20"/>
        </w:rPr>
        <w:t>Tên sản phẩm: Snack Quẩy Giòn Giòn | Quy cách: 22g/cốc (1.300 thùng) | Trị giá FCA: $20.540,00 USD (533.250.000 VNĐ)</w:t>
        <w:br/>
      </w:r>
      <w:r>
        <w:rPr>
          <w:rFonts w:ascii="Times New Roman" w:hAnsi="Times New Roman"/>
          <w:b w:val="0"/>
          <w:i/>
          <w:sz w:val="18"/>
        </w:rPr>
        <w:t>Phương pháp tính: Gián tiếp (Indirect Formula) &amp; Đối chiếu Trực tiếp (Direct Formula)</w:t>
      </w:r>
    </w:p>
    <w:p>
      <w:pPr>
        <w:spacing w:before="80" w:after="120"/>
      </w:pPr>
      <w:r>
        <w:rPr>
          <w:rFonts w:ascii="Times New Roman" w:hAnsi="Times New Roman"/>
          <w:b/>
          <w:i w:val="0"/>
          <w:sz w:val="19"/>
        </w:rPr>
        <w:t>Công thức tính RVC gián tiếp theo Hiệp định ATIGA:</w:t>
        <w:br/>
      </w:r>
      <w:r>
        <w:rPr>
          <w:rFonts w:ascii="Times New Roman" w:hAnsi="Times New Roman"/>
          <w:b/>
          <w:i w:val="0"/>
          <w:color w:val="C00000"/>
          <w:sz w:val="20"/>
        </w:rPr>
        <w:t xml:space="preserve">          RVC = [(FCA / FOB – VNM) / (FCA / FOB)] × 100%</w:t>
        <w:br/>
      </w:r>
      <w:r>
        <w:rPr>
          <w:rFonts w:ascii="Times New Roman" w:hAnsi="Times New Roman"/>
          <w:b w:val="0"/>
          <w:i/>
          <w:sz w:val="17"/>
        </w:rPr>
        <w:t>Trong đó:</w:t>
        <w:br/>
        <w:t>• FCA / FOB: Trị giá xuất xưởng / giao tại cửa khẩu của lô hàng.</w:t>
        <w:br/>
        <w:t>• VNM (Value of Non-originating Materials): Trị giá nguyên liệu không có xuất xứ hoặc không xác định được xuất xứ.</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864"/>
            <w:shd w:fill="EBF1F5"/>
            <w:tcMar>
              <w:top w:w="60" w:type="dxa"/>
              <w:bottom w:w="60" w:type="dxa"/>
              <w:left w:w="60" w:type="dxa"/>
              <w:right w:w="60" w:type="dxa"/>
            </w:tcMar>
          </w:tcPr>
          <w:p>
            <w:pPr>
              <w:jc w:val="center"/>
            </w:pPr>
            <w:r>
              <w:rPr>
                <w:rFonts w:ascii="Times New Roman" w:hAnsi="Times New Roman"/>
                <w:b/>
                <w:i w:val="0"/>
                <w:sz w:val="18"/>
              </w:rPr>
              <w:t>STT</w:t>
            </w:r>
          </w:p>
        </w:tc>
        <w:tc>
          <w:tcPr>
            <w:tcW w:type="dxa" w:w="4608"/>
            <w:shd w:fill="EBF1F5"/>
            <w:tcMar>
              <w:top w:w="60" w:type="dxa"/>
              <w:bottom w:w="60" w:type="dxa"/>
              <w:left w:w="60" w:type="dxa"/>
              <w:right w:w="60" w:type="dxa"/>
            </w:tcMar>
          </w:tcPr>
          <w:p>
            <w:pPr>
              <w:jc w:val="center"/>
            </w:pPr>
            <w:r>
              <w:rPr>
                <w:rFonts w:ascii="Times New Roman" w:hAnsi="Times New Roman"/>
                <w:b/>
                <w:i w:val="0"/>
                <w:sz w:val="18"/>
              </w:rPr>
              <w:t>Chỉ tiêu cấu thành chi phí &amp; trị giá</w:t>
            </w:r>
          </w:p>
        </w:tc>
        <w:tc>
          <w:tcPr>
            <w:tcW w:type="dxa" w:w="2016"/>
            <w:shd w:fill="EBF1F5"/>
            <w:tcMar>
              <w:top w:w="60" w:type="dxa"/>
              <w:bottom w:w="60" w:type="dxa"/>
              <w:left w:w="60" w:type="dxa"/>
              <w:right w:w="60" w:type="dxa"/>
            </w:tcMar>
          </w:tcPr>
          <w:p>
            <w:pPr>
              <w:jc w:val="center"/>
            </w:pPr>
            <w:r>
              <w:rPr>
                <w:rFonts w:ascii="Times New Roman" w:hAnsi="Times New Roman"/>
                <w:b/>
                <w:i w:val="0"/>
                <w:sz w:val="18"/>
              </w:rPr>
              <w:t>Ký hiệu</w:t>
            </w:r>
          </w:p>
        </w:tc>
        <w:tc>
          <w:tcPr>
            <w:tcW w:type="dxa" w:w="2592"/>
            <w:shd w:fill="EBF1F5"/>
            <w:tcMar>
              <w:top w:w="60" w:type="dxa"/>
              <w:bottom w:w="60" w:type="dxa"/>
              <w:left w:w="60" w:type="dxa"/>
              <w:right w:w="60" w:type="dxa"/>
            </w:tcMar>
          </w:tcPr>
          <w:p>
            <w:pPr>
              <w:jc w:val="center"/>
            </w:pPr>
            <w:r>
              <w:rPr>
                <w:rFonts w:ascii="Times New Roman" w:hAnsi="Times New Roman"/>
                <w:b/>
                <w:i w:val="0"/>
                <w:sz w:val="18"/>
              </w:rPr>
              <w:t>Giá trị tính toán (VNĐ)</w:t>
            </w:r>
          </w:p>
        </w:tc>
      </w:tr>
      <w:tr>
        <w:tc>
          <w:tcPr>
            <w:tcW w:type="dxa" w:w="864"/>
            <w:tcMar>
              <w:top w:w="50" w:type="dxa"/>
              <w:bottom w:w="50" w:type="dxa"/>
              <w:left w:w="50" w:type="dxa"/>
              <w:right w:w="50" w:type="dxa"/>
            </w:tcMar>
          </w:tcPr>
          <w:p>
            <w:pPr>
              <w:jc w:val="center"/>
            </w:pPr>
            <w:r>
              <w:rPr>
                <w:rFonts w:ascii="Times New Roman" w:hAnsi="Times New Roman"/>
                <w:b w:val="0"/>
                <w:i w:val="0"/>
                <w:sz w:val="17"/>
              </w:rPr>
              <w:t>1</w:t>
            </w:r>
          </w:p>
        </w:tc>
        <w:tc>
          <w:tcPr>
            <w:tcW w:type="dxa" w:w="4608"/>
            <w:tcMar>
              <w:top w:w="50" w:type="dxa"/>
              <w:bottom w:w="50" w:type="dxa"/>
              <w:left w:w="50" w:type="dxa"/>
              <w:right w:w="50" w:type="dxa"/>
            </w:tcMar>
          </w:tcPr>
          <w:p>
            <w:pPr>
              <w:jc w:val="left"/>
            </w:pPr>
            <w:r>
              <w:rPr>
                <w:rFonts w:ascii="Times New Roman" w:hAnsi="Times New Roman"/>
                <w:b w:val="0"/>
                <w:i w:val="0"/>
                <w:sz w:val="17"/>
              </w:rPr>
              <w:t>Tổng trị giá lô hàng theo điều kiện FCA Cửa khẩu Lao Bảo (1.300 thùng x $15.80 x 25.000)</w:t>
            </w:r>
          </w:p>
        </w:tc>
        <w:tc>
          <w:tcPr>
            <w:tcW w:type="dxa" w:w="2016"/>
            <w:tcMar>
              <w:top w:w="50" w:type="dxa"/>
              <w:bottom w:w="50" w:type="dxa"/>
              <w:left w:w="50" w:type="dxa"/>
              <w:right w:w="50" w:type="dxa"/>
            </w:tcMar>
          </w:tcPr>
          <w:p>
            <w:pPr>
              <w:jc w:val="center"/>
            </w:pPr>
            <w:r>
              <w:rPr>
                <w:rFonts w:ascii="Times New Roman" w:hAnsi="Times New Roman"/>
                <w:b w:val="0"/>
                <w:i w:val="0"/>
                <w:sz w:val="17"/>
              </w:rPr>
              <w:t>FCA</w:t>
            </w:r>
          </w:p>
        </w:tc>
        <w:tc>
          <w:tcPr>
            <w:tcW w:type="dxa" w:w="2592"/>
            <w:tcMar>
              <w:top w:w="50" w:type="dxa"/>
              <w:bottom w:w="50" w:type="dxa"/>
              <w:left w:w="50" w:type="dxa"/>
              <w:right w:w="50" w:type="dxa"/>
            </w:tcMar>
          </w:tcPr>
          <w:p>
            <w:pPr>
              <w:jc w:val="right"/>
            </w:pPr>
            <w:r>
              <w:rPr>
                <w:rFonts w:ascii="Times New Roman" w:hAnsi="Times New Roman"/>
                <w:b w:val="0"/>
                <w:i w:val="0"/>
                <w:sz w:val="17"/>
              </w:rPr>
              <w:t>533.250.000 VNĐ</w:t>
              <w:br/>
              <w:t>($20,540.00 USD)</w:t>
            </w:r>
          </w:p>
        </w:tc>
      </w:tr>
      <w:tr>
        <w:tc>
          <w:tcPr>
            <w:tcW w:type="dxa" w:w="864"/>
            <w:tcMar>
              <w:top w:w="50" w:type="dxa"/>
              <w:bottom w:w="50" w:type="dxa"/>
              <w:left w:w="50" w:type="dxa"/>
              <w:right w:w="50" w:type="dxa"/>
            </w:tcMar>
          </w:tcPr>
          <w:p>
            <w:pPr>
              <w:jc w:val="center"/>
            </w:pPr>
            <w:r>
              <w:rPr>
                <w:rFonts w:ascii="Times New Roman" w:hAnsi="Times New Roman"/>
                <w:b w:val="0"/>
                <w:i w:val="0"/>
                <w:sz w:val="17"/>
              </w:rPr>
              <w:t>2</w:t>
            </w:r>
          </w:p>
        </w:tc>
        <w:tc>
          <w:tcPr>
            <w:tcW w:type="dxa" w:w="4608"/>
            <w:tcMar>
              <w:top w:w="50" w:type="dxa"/>
              <w:bottom w:w="50" w:type="dxa"/>
              <w:left w:w="50" w:type="dxa"/>
              <w:right w:w="50" w:type="dxa"/>
            </w:tcMar>
          </w:tcPr>
          <w:p>
            <w:pPr>
              <w:jc w:val="left"/>
            </w:pPr>
            <w:r>
              <w:rPr>
                <w:rFonts w:ascii="Times New Roman" w:hAnsi="Times New Roman"/>
                <w:b w:val="0"/>
                <w:i w:val="0"/>
                <w:sz w:val="17"/>
              </w:rPr>
              <w:t>Trị giá nguyên vật liệu KHÔNG có xuất xứ ASEAN (VNM)</w:t>
              <w:br/>
              <w:t>(Tính khắt khe 100% Bột mì lúa mì nhập khẩu là nguyên liệu không có xuất xứ)</w:t>
            </w:r>
          </w:p>
        </w:tc>
        <w:tc>
          <w:tcPr>
            <w:tcW w:type="dxa" w:w="2016"/>
            <w:tcMar>
              <w:top w:w="50" w:type="dxa"/>
              <w:bottom w:w="50" w:type="dxa"/>
              <w:left w:w="50" w:type="dxa"/>
              <w:right w:w="50" w:type="dxa"/>
            </w:tcMar>
          </w:tcPr>
          <w:p>
            <w:pPr>
              <w:jc w:val="center"/>
            </w:pPr>
            <w:r>
              <w:rPr>
                <w:rFonts w:ascii="Times New Roman" w:hAnsi="Times New Roman"/>
                <w:b w:val="0"/>
                <w:i w:val="0"/>
                <w:sz w:val="17"/>
              </w:rPr>
              <w:t>VNM</w:t>
            </w:r>
          </w:p>
        </w:tc>
        <w:tc>
          <w:tcPr>
            <w:tcW w:type="dxa" w:w="2592"/>
            <w:tcMar>
              <w:top w:w="50" w:type="dxa"/>
              <w:bottom w:w="50" w:type="dxa"/>
              <w:left w:w="50" w:type="dxa"/>
              <w:right w:w="50" w:type="dxa"/>
            </w:tcMar>
          </w:tcPr>
          <w:p>
            <w:pPr>
              <w:jc w:val="right"/>
            </w:pPr>
            <w:r>
              <w:rPr>
                <w:rFonts w:ascii="Times New Roman" w:hAnsi="Times New Roman"/>
                <w:b w:val="0"/>
                <w:i w:val="0"/>
                <w:sz w:val="17"/>
              </w:rPr>
              <w:t>78.435.000 VNĐ</w:t>
              <w:br/>
              <w:t>(14,71% trị giá FCA)</w:t>
            </w:r>
          </w:p>
        </w:tc>
      </w:tr>
      <w:tr>
        <w:tc>
          <w:tcPr>
            <w:tcW w:type="dxa" w:w="864"/>
            <w:tcMar>
              <w:top w:w="50" w:type="dxa"/>
              <w:bottom w:w="50" w:type="dxa"/>
              <w:left w:w="50" w:type="dxa"/>
              <w:right w:w="50" w:type="dxa"/>
            </w:tcMar>
          </w:tcPr>
          <w:p>
            <w:pPr>
              <w:jc w:val="center"/>
            </w:pPr>
            <w:r>
              <w:rPr>
                <w:rFonts w:ascii="Times New Roman" w:hAnsi="Times New Roman"/>
                <w:b w:val="0"/>
                <w:i w:val="0"/>
                <w:sz w:val="17"/>
              </w:rPr>
              <w:t>3</w:t>
            </w:r>
          </w:p>
        </w:tc>
        <w:tc>
          <w:tcPr>
            <w:tcW w:type="dxa" w:w="4608"/>
            <w:tcMar>
              <w:top w:w="50" w:type="dxa"/>
              <w:bottom w:w="50" w:type="dxa"/>
              <w:left w:w="50" w:type="dxa"/>
              <w:right w:w="50" w:type="dxa"/>
            </w:tcMar>
          </w:tcPr>
          <w:p>
            <w:pPr>
              <w:jc w:val="left"/>
            </w:pPr>
            <w:r>
              <w:rPr>
                <w:rFonts w:ascii="Times New Roman" w:hAnsi="Times New Roman"/>
                <w:b w:val="0"/>
                <w:i w:val="0"/>
                <w:sz w:val="17"/>
              </w:rPr>
              <w:t>Trị giá nguyên liệu có xuất xứ Việt Nam / ASEAN (VOM)</w:t>
              <w:br/>
              <w:t>(Dầu cọ, đường, muối, ớt nông dân, bao bì cốc, thùng carton 5 lớp...)</w:t>
            </w:r>
          </w:p>
        </w:tc>
        <w:tc>
          <w:tcPr>
            <w:tcW w:type="dxa" w:w="2016"/>
            <w:tcMar>
              <w:top w:w="50" w:type="dxa"/>
              <w:bottom w:w="50" w:type="dxa"/>
              <w:left w:w="50" w:type="dxa"/>
              <w:right w:w="50" w:type="dxa"/>
            </w:tcMar>
          </w:tcPr>
          <w:p>
            <w:pPr>
              <w:jc w:val="center"/>
            </w:pPr>
            <w:r>
              <w:rPr>
                <w:rFonts w:ascii="Times New Roman" w:hAnsi="Times New Roman"/>
                <w:b w:val="0"/>
                <w:i w:val="0"/>
                <w:sz w:val="17"/>
              </w:rPr>
              <w:t>VOM</w:t>
            </w:r>
          </w:p>
        </w:tc>
        <w:tc>
          <w:tcPr>
            <w:tcW w:type="dxa" w:w="2592"/>
            <w:tcMar>
              <w:top w:w="50" w:type="dxa"/>
              <w:bottom w:w="50" w:type="dxa"/>
              <w:left w:w="50" w:type="dxa"/>
              <w:right w:w="50" w:type="dxa"/>
            </w:tcMar>
          </w:tcPr>
          <w:p>
            <w:pPr>
              <w:jc w:val="right"/>
            </w:pPr>
            <w:r>
              <w:rPr>
                <w:rFonts w:ascii="Times New Roman" w:hAnsi="Times New Roman"/>
                <w:b w:val="0"/>
                <w:i w:val="0"/>
                <w:sz w:val="17"/>
              </w:rPr>
              <w:t>163.515.000 VNĐ</w:t>
              <w:br/>
              <w:t>(Có HĐGTGT &amp; CQT)</w:t>
            </w:r>
          </w:p>
        </w:tc>
      </w:tr>
      <w:tr>
        <w:tc>
          <w:tcPr>
            <w:tcW w:type="dxa" w:w="864"/>
            <w:tcMar>
              <w:top w:w="50" w:type="dxa"/>
              <w:bottom w:w="50" w:type="dxa"/>
              <w:left w:w="50" w:type="dxa"/>
              <w:right w:w="50" w:type="dxa"/>
            </w:tcMar>
          </w:tcPr>
          <w:p>
            <w:pPr>
              <w:jc w:val="center"/>
            </w:pPr>
            <w:r>
              <w:rPr>
                <w:rFonts w:ascii="Times New Roman" w:hAnsi="Times New Roman"/>
                <w:b w:val="0"/>
                <w:i w:val="0"/>
                <w:sz w:val="17"/>
              </w:rPr>
              <w:t>4</w:t>
            </w:r>
          </w:p>
        </w:tc>
        <w:tc>
          <w:tcPr>
            <w:tcW w:type="dxa" w:w="4608"/>
            <w:tcMar>
              <w:top w:w="50" w:type="dxa"/>
              <w:bottom w:w="50" w:type="dxa"/>
              <w:left w:w="50" w:type="dxa"/>
              <w:right w:w="50" w:type="dxa"/>
            </w:tcMar>
          </w:tcPr>
          <w:p>
            <w:pPr>
              <w:jc w:val="left"/>
            </w:pPr>
            <w:r>
              <w:rPr>
                <w:rFonts w:ascii="Times New Roman" w:hAnsi="Times New Roman"/>
                <w:b w:val="0"/>
                <w:i w:val="0"/>
                <w:sz w:val="17"/>
              </w:rPr>
              <w:t>Chi phí nhân công trực tiếp (Direct Labour Cost)</w:t>
            </w:r>
          </w:p>
        </w:tc>
        <w:tc>
          <w:tcPr>
            <w:tcW w:type="dxa" w:w="2016"/>
            <w:tcMar>
              <w:top w:w="50" w:type="dxa"/>
              <w:bottom w:w="50" w:type="dxa"/>
              <w:left w:w="50" w:type="dxa"/>
              <w:right w:w="50" w:type="dxa"/>
            </w:tcMar>
          </w:tcPr>
          <w:p>
            <w:pPr>
              <w:jc w:val="center"/>
            </w:pPr>
            <w:r>
              <w:rPr>
                <w:rFonts w:ascii="Times New Roman" w:hAnsi="Times New Roman"/>
                <w:b w:val="0"/>
                <w:i w:val="0"/>
                <w:sz w:val="17"/>
              </w:rPr>
              <w:t>DLC</w:t>
            </w:r>
          </w:p>
        </w:tc>
        <w:tc>
          <w:tcPr>
            <w:tcW w:type="dxa" w:w="2592"/>
            <w:tcMar>
              <w:top w:w="50" w:type="dxa"/>
              <w:bottom w:w="50" w:type="dxa"/>
              <w:left w:w="50" w:type="dxa"/>
              <w:right w:w="50" w:type="dxa"/>
            </w:tcMar>
          </w:tcPr>
          <w:p>
            <w:pPr>
              <w:jc w:val="right"/>
            </w:pPr>
            <w:r>
              <w:rPr>
                <w:rFonts w:ascii="Times New Roman" w:hAnsi="Times New Roman"/>
                <w:b w:val="0"/>
                <w:i w:val="0"/>
                <w:sz w:val="17"/>
              </w:rPr>
              <w:t>48.600.000 VNĐ</w:t>
            </w:r>
          </w:p>
        </w:tc>
      </w:tr>
      <w:tr>
        <w:tc>
          <w:tcPr>
            <w:tcW w:type="dxa" w:w="864"/>
            <w:tcMar>
              <w:top w:w="50" w:type="dxa"/>
              <w:bottom w:w="50" w:type="dxa"/>
              <w:left w:w="50" w:type="dxa"/>
              <w:right w:w="50" w:type="dxa"/>
            </w:tcMar>
          </w:tcPr>
          <w:p>
            <w:pPr>
              <w:jc w:val="center"/>
            </w:pPr>
            <w:r>
              <w:rPr>
                <w:rFonts w:ascii="Times New Roman" w:hAnsi="Times New Roman"/>
                <w:b w:val="0"/>
                <w:i w:val="0"/>
                <w:sz w:val="17"/>
              </w:rPr>
              <w:t>5</w:t>
            </w:r>
          </w:p>
        </w:tc>
        <w:tc>
          <w:tcPr>
            <w:tcW w:type="dxa" w:w="4608"/>
            <w:tcMar>
              <w:top w:w="50" w:type="dxa"/>
              <w:bottom w:w="50" w:type="dxa"/>
              <w:left w:w="50" w:type="dxa"/>
              <w:right w:w="50" w:type="dxa"/>
            </w:tcMar>
          </w:tcPr>
          <w:p>
            <w:pPr>
              <w:jc w:val="left"/>
            </w:pPr>
            <w:r>
              <w:rPr>
                <w:rFonts w:ascii="Times New Roman" w:hAnsi="Times New Roman"/>
                <w:b w:val="0"/>
                <w:i w:val="0"/>
                <w:sz w:val="17"/>
              </w:rPr>
              <w:t>Chi phí sản xuất chung, điện, khấu hao máy ép đùn (Direct Overhead)</w:t>
            </w:r>
          </w:p>
        </w:tc>
        <w:tc>
          <w:tcPr>
            <w:tcW w:type="dxa" w:w="2016"/>
            <w:tcMar>
              <w:top w:w="50" w:type="dxa"/>
              <w:bottom w:w="50" w:type="dxa"/>
              <w:left w:w="50" w:type="dxa"/>
              <w:right w:w="50" w:type="dxa"/>
            </w:tcMar>
          </w:tcPr>
          <w:p>
            <w:pPr>
              <w:jc w:val="center"/>
            </w:pPr>
            <w:r>
              <w:rPr>
                <w:rFonts w:ascii="Times New Roman" w:hAnsi="Times New Roman"/>
                <w:b w:val="0"/>
                <w:i w:val="0"/>
                <w:sz w:val="17"/>
              </w:rPr>
              <w:t>DOH</w:t>
            </w:r>
          </w:p>
        </w:tc>
        <w:tc>
          <w:tcPr>
            <w:tcW w:type="dxa" w:w="2592"/>
            <w:tcMar>
              <w:top w:w="50" w:type="dxa"/>
              <w:bottom w:w="50" w:type="dxa"/>
              <w:left w:w="50" w:type="dxa"/>
              <w:right w:w="50" w:type="dxa"/>
            </w:tcMar>
          </w:tcPr>
          <w:p>
            <w:pPr>
              <w:jc w:val="right"/>
            </w:pPr>
            <w:r>
              <w:rPr>
                <w:rFonts w:ascii="Times New Roman" w:hAnsi="Times New Roman"/>
                <w:b w:val="0"/>
                <w:i w:val="0"/>
                <w:sz w:val="17"/>
              </w:rPr>
              <w:t>32.400.000 VNĐ</w:t>
            </w:r>
          </w:p>
        </w:tc>
      </w:tr>
      <w:tr>
        <w:tc>
          <w:tcPr>
            <w:tcW w:type="dxa" w:w="864"/>
            <w:tcMar>
              <w:top w:w="50" w:type="dxa"/>
              <w:bottom w:w="50" w:type="dxa"/>
              <w:left w:w="50" w:type="dxa"/>
              <w:right w:w="50" w:type="dxa"/>
            </w:tcMar>
          </w:tcPr>
          <w:p>
            <w:pPr>
              <w:jc w:val="center"/>
            </w:pPr>
            <w:r>
              <w:rPr>
                <w:rFonts w:ascii="Times New Roman" w:hAnsi="Times New Roman"/>
                <w:b w:val="0"/>
                <w:i w:val="0"/>
                <w:sz w:val="17"/>
              </w:rPr>
              <w:t>6</w:t>
            </w:r>
          </w:p>
        </w:tc>
        <w:tc>
          <w:tcPr>
            <w:tcW w:type="dxa" w:w="4608"/>
            <w:tcMar>
              <w:top w:w="50" w:type="dxa"/>
              <w:bottom w:w="50" w:type="dxa"/>
              <w:left w:w="50" w:type="dxa"/>
              <w:right w:w="50" w:type="dxa"/>
            </w:tcMar>
          </w:tcPr>
          <w:p>
            <w:pPr>
              <w:jc w:val="left"/>
            </w:pPr>
            <w:r>
              <w:rPr>
                <w:rFonts w:ascii="Times New Roman" w:hAnsi="Times New Roman"/>
                <w:b w:val="0"/>
                <w:i w:val="0"/>
                <w:sz w:val="17"/>
              </w:rPr>
              <w:t>Chi phí đóng gói, bao bì phụ &amp; kiểm nghiệm ATTP (Packing &amp; QA)</w:t>
            </w:r>
          </w:p>
        </w:tc>
        <w:tc>
          <w:tcPr>
            <w:tcW w:type="dxa" w:w="2016"/>
            <w:tcMar>
              <w:top w:w="50" w:type="dxa"/>
              <w:bottom w:w="50" w:type="dxa"/>
              <w:left w:w="50" w:type="dxa"/>
              <w:right w:w="50" w:type="dxa"/>
            </w:tcMar>
          </w:tcPr>
          <w:p>
            <w:pPr>
              <w:jc w:val="center"/>
            </w:pPr>
            <w:r>
              <w:rPr>
                <w:rFonts w:ascii="Times New Roman" w:hAnsi="Times New Roman"/>
                <w:b w:val="0"/>
                <w:i w:val="0"/>
                <w:sz w:val="17"/>
              </w:rPr>
              <w:t>PAC</w:t>
            </w:r>
          </w:p>
        </w:tc>
        <w:tc>
          <w:tcPr>
            <w:tcW w:type="dxa" w:w="2592"/>
            <w:tcMar>
              <w:top w:w="50" w:type="dxa"/>
              <w:bottom w:w="50" w:type="dxa"/>
              <w:left w:w="50" w:type="dxa"/>
              <w:right w:w="50" w:type="dxa"/>
            </w:tcMar>
          </w:tcPr>
          <w:p>
            <w:pPr>
              <w:jc w:val="right"/>
            </w:pPr>
            <w:r>
              <w:rPr>
                <w:rFonts w:ascii="Times New Roman" w:hAnsi="Times New Roman"/>
                <w:b w:val="0"/>
                <w:i w:val="0"/>
                <w:sz w:val="17"/>
              </w:rPr>
              <w:t>18.500.000 VNĐ</w:t>
            </w:r>
          </w:p>
        </w:tc>
      </w:tr>
      <w:tr>
        <w:tc>
          <w:tcPr>
            <w:tcW w:type="dxa" w:w="864"/>
            <w:tcMar>
              <w:top w:w="50" w:type="dxa"/>
              <w:bottom w:w="50" w:type="dxa"/>
              <w:left w:w="50" w:type="dxa"/>
              <w:right w:w="50" w:type="dxa"/>
            </w:tcMar>
          </w:tcPr>
          <w:p>
            <w:pPr>
              <w:jc w:val="center"/>
            </w:pPr>
            <w:r>
              <w:rPr>
                <w:rFonts w:ascii="Times New Roman" w:hAnsi="Times New Roman"/>
                <w:b w:val="0"/>
                <w:i w:val="0"/>
                <w:sz w:val="17"/>
              </w:rPr>
              <w:t>7</w:t>
            </w:r>
          </w:p>
        </w:tc>
        <w:tc>
          <w:tcPr>
            <w:tcW w:type="dxa" w:w="4608"/>
            <w:tcMar>
              <w:top w:w="50" w:type="dxa"/>
              <w:bottom w:w="50" w:type="dxa"/>
              <w:left w:w="50" w:type="dxa"/>
              <w:right w:w="50" w:type="dxa"/>
            </w:tcMar>
          </w:tcPr>
          <w:p>
            <w:pPr>
              <w:jc w:val="left"/>
            </w:pPr>
            <w:r>
              <w:rPr>
                <w:rFonts w:ascii="Times New Roman" w:hAnsi="Times New Roman"/>
                <w:b w:val="0"/>
                <w:i w:val="0"/>
                <w:sz w:val="17"/>
              </w:rPr>
              <w:t>Chi phí vận chuyển nội địa, bốc xếp &amp; bảo hiểm Phú Thọ - Lao Bảo</w:t>
            </w:r>
          </w:p>
        </w:tc>
        <w:tc>
          <w:tcPr>
            <w:tcW w:type="dxa" w:w="2016"/>
            <w:tcMar>
              <w:top w:w="50" w:type="dxa"/>
              <w:bottom w:w="50" w:type="dxa"/>
              <w:left w:w="50" w:type="dxa"/>
              <w:right w:w="50" w:type="dxa"/>
            </w:tcMar>
          </w:tcPr>
          <w:p>
            <w:pPr>
              <w:jc w:val="center"/>
            </w:pPr>
            <w:r>
              <w:rPr>
                <w:rFonts w:ascii="Times New Roman" w:hAnsi="Times New Roman"/>
                <w:b w:val="0"/>
                <w:i w:val="0"/>
                <w:sz w:val="17"/>
              </w:rPr>
              <w:t>TRN</w:t>
            </w:r>
          </w:p>
        </w:tc>
        <w:tc>
          <w:tcPr>
            <w:tcW w:type="dxa" w:w="2592"/>
            <w:tcMar>
              <w:top w:w="50" w:type="dxa"/>
              <w:bottom w:w="50" w:type="dxa"/>
              <w:left w:w="50" w:type="dxa"/>
              <w:right w:w="50" w:type="dxa"/>
            </w:tcMar>
          </w:tcPr>
          <w:p>
            <w:pPr>
              <w:jc w:val="right"/>
            </w:pPr>
            <w:r>
              <w:rPr>
                <w:rFonts w:ascii="Times New Roman" w:hAnsi="Times New Roman"/>
                <w:b w:val="0"/>
                <w:i w:val="0"/>
                <w:sz w:val="17"/>
              </w:rPr>
              <w:t>23.760.000 VNĐ</w:t>
            </w:r>
          </w:p>
        </w:tc>
      </w:tr>
      <w:tr>
        <w:tc>
          <w:tcPr>
            <w:tcW w:type="dxa" w:w="864"/>
            <w:tcMar>
              <w:top w:w="50" w:type="dxa"/>
              <w:bottom w:w="50" w:type="dxa"/>
              <w:left w:w="50" w:type="dxa"/>
              <w:right w:w="50" w:type="dxa"/>
            </w:tcMar>
          </w:tcPr>
          <w:p>
            <w:pPr>
              <w:jc w:val="center"/>
            </w:pPr>
            <w:r>
              <w:rPr>
                <w:rFonts w:ascii="Times New Roman" w:hAnsi="Times New Roman"/>
                <w:b w:val="0"/>
                <w:i w:val="0"/>
                <w:sz w:val="17"/>
              </w:rPr>
              <w:t>8</w:t>
            </w:r>
          </w:p>
        </w:tc>
        <w:tc>
          <w:tcPr>
            <w:tcW w:type="dxa" w:w="4608"/>
            <w:tcMar>
              <w:top w:w="50" w:type="dxa"/>
              <w:bottom w:w="50" w:type="dxa"/>
              <w:left w:w="50" w:type="dxa"/>
              <w:right w:w="50" w:type="dxa"/>
            </w:tcMar>
          </w:tcPr>
          <w:p>
            <w:pPr>
              <w:jc w:val="left"/>
            </w:pPr>
            <w:r>
              <w:rPr>
                <w:rFonts w:ascii="Times New Roman" w:hAnsi="Times New Roman"/>
                <w:b w:val="0"/>
                <w:i w:val="0"/>
                <w:sz w:val="17"/>
              </w:rPr>
              <w:t>Lợi nhuận gộp &amp; chi phí quản lý doanh nghiệp hợp lý</w:t>
            </w:r>
          </w:p>
        </w:tc>
        <w:tc>
          <w:tcPr>
            <w:tcW w:type="dxa" w:w="2016"/>
            <w:tcMar>
              <w:top w:w="50" w:type="dxa"/>
              <w:bottom w:w="50" w:type="dxa"/>
              <w:left w:w="50" w:type="dxa"/>
              <w:right w:w="50" w:type="dxa"/>
            </w:tcMar>
          </w:tcPr>
          <w:p>
            <w:pPr>
              <w:jc w:val="center"/>
            </w:pPr>
            <w:r>
              <w:rPr>
                <w:rFonts w:ascii="Times New Roman" w:hAnsi="Times New Roman"/>
                <w:b w:val="0"/>
                <w:i w:val="0"/>
                <w:sz w:val="17"/>
              </w:rPr>
              <w:t>PRF</w:t>
            </w:r>
          </w:p>
        </w:tc>
        <w:tc>
          <w:tcPr>
            <w:tcW w:type="dxa" w:w="2592"/>
            <w:tcMar>
              <w:top w:w="50" w:type="dxa"/>
              <w:bottom w:w="50" w:type="dxa"/>
              <w:left w:w="50" w:type="dxa"/>
              <w:right w:w="50" w:type="dxa"/>
            </w:tcMar>
          </w:tcPr>
          <w:p>
            <w:pPr>
              <w:jc w:val="right"/>
            </w:pPr>
            <w:r>
              <w:rPr>
                <w:rFonts w:ascii="Times New Roman" w:hAnsi="Times New Roman"/>
                <w:b w:val="0"/>
                <w:i w:val="0"/>
                <w:sz w:val="17"/>
              </w:rPr>
              <w:t>168.040.000 VNĐ</w:t>
            </w:r>
          </w:p>
        </w:tc>
      </w:tr>
      <w:tr>
        <w:tc>
          <w:tcPr>
            <w:tcW w:type="dxa" w:w="864"/>
            <w:shd w:fill="E2EFDA"/>
            <w:tcMar>
              <w:top w:w="50" w:type="dxa"/>
              <w:bottom w:w="50" w:type="dxa"/>
              <w:left w:w="50" w:type="dxa"/>
              <w:right w:w="50" w:type="dxa"/>
            </w:tcMar>
          </w:tcPr>
          <w:p>
            <w:pPr>
              <w:jc w:val="center"/>
            </w:pPr>
            <w:r>
              <w:rPr>
                <w:rFonts w:ascii="Times New Roman" w:hAnsi="Times New Roman"/>
                <w:b/>
                <w:i w:val="0"/>
                <w:sz w:val="17"/>
              </w:rPr>
              <w:t>9</w:t>
            </w:r>
          </w:p>
        </w:tc>
        <w:tc>
          <w:tcPr>
            <w:tcW w:type="dxa" w:w="4608"/>
            <w:shd w:fill="E2EFDA"/>
            <w:tcMar>
              <w:top w:w="50" w:type="dxa"/>
              <w:bottom w:w="50" w:type="dxa"/>
              <w:left w:w="50" w:type="dxa"/>
              <w:right w:w="50" w:type="dxa"/>
            </w:tcMar>
          </w:tcPr>
          <w:p>
            <w:pPr>
              <w:jc w:val="left"/>
            </w:pPr>
            <w:r>
              <w:rPr>
                <w:rFonts w:ascii="Times New Roman" w:hAnsi="Times New Roman"/>
                <w:b/>
                <w:i w:val="0"/>
                <w:sz w:val="17"/>
              </w:rPr>
              <w:t>KẾT QUẢ TÍNH TOÁN HÀM LƯỢNG RVC:</w:t>
              <w:br/>
              <w:t>RVC = [(533.250.000 – 78.435.000) / 533.250.000] × 100%</w:t>
            </w:r>
          </w:p>
        </w:tc>
        <w:tc>
          <w:tcPr>
            <w:tcW w:type="dxa" w:w="2016"/>
            <w:shd w:fill="E2EFDA"/>
            <w:tcMar>
              <w:top w:w="50" w:type="dxa"/>
              <w:bottom w:w="50" w:type="dxa"/>
              <w:left w:w="50" w:type="dxa"/>
              <w:right w:w="50" w:type="dxa"/>
            </w:tcMar>
          </w:tcPr>
          <w:p>
            <w:pPr>
              <w:jc w:val="center"/>
            </w:pPr>
            <w:r>
              <w:rPr>
                <w:rFonts w:ascii="Times New Roman" w:hAnsi="Times New Roman"/>
                <w:b/>
                <w:i w:val="0"/>
                <w:sz w:val="17"/>
              </w:rPr>
              <w:t>RVC</w:t>
            </w:r>
          </w:p>
        </w:tc>
        <w:tc>
          <w:tcPr>
            <w:tcW w:type="dxa" w:w="2592"/>
            <w:shd w:fill="E2EFDA"/>
            <w:tcMar>
              <w:top w:w="50" w:type="dxa"/>
              <w:bottom w:w="50" w:type="dxa"/>
              <w:left w:w="50" w:type="dxa"/>
              <w:right w:w="50" w:type="dxa"/>
            </w:tcMar>
          </w:tcPr>
          <w:p>
            <w:pPr>
              <w:jc w:val="right"/>
            </w:pPr>
            <w:r>
              <w:rPr>
                <w:rFonts w:ascii="Times New Roman" w:hAnsi="Times New Roman"/>
                <w:b/>
                <w:i w:val="0"/>
                <w:sz w:val="17"/>
              </w:rPr>
              <w:t>85,3% (ĐẠT)</w:t>
            </w:r>
          </w:p>
        </w:tc>
      </w:tr>
    </w:tbl>
    <w:p>
      <w:pPr>
        <w:spacing w:before="160" w:after="80"/>
      </w:pPr>
      <w:r>
        <w:rPr>
          <w:rFonts w:ascii="Times New Roman" w:hAnsi="Times New Roman"/>
          <w:b/>
          <w:i w:val="0"/>
          <w:color w:val="002060"/>
          <w:sz w:val="20"/>
        </w:rPr>
        <w:t>ĐÁNH GIÁ ĐỐI CHIẾU TIÊU CHÍ ATIGA:</w:t>
        <w:br/>
      </w:r>
      <w:r>
        <w:rPr>
          <w:rFonts w:ascii="Times New Roman" w:hAnsi="Times New Roman"/>
          <w:b w:val="0"/>
          <w:i w:val="0"/>
          <w:sz w:val="18"/>
        </w:rPr>
        <w:t>• Ngưỡng quy định tối thiểu của Hiệp định ATIGA: RVC ≥ 40%.</w:t>
        <w:br/>
        <w:t>• Kết quả tính toán thực tế của lô hàng: RVC = 85,3% (vượt 45,3% so với ngưỡng tối thiểu).</w:t>
        <w:br/>
        <w:t>• Khẳng định: Ngay cả khi xét theo tiêu chí hàm lượng giá trị khu vực (RVC) hay tiêu chí chuyển đổi mã HS (CTH), lô hàng 1.300 thùng Snack Quẩy Giòn Giòn đều thỏa mãn 100% điều kiện để hưởng thuế suất ưu đãi đặc biệt 0% tại Thái Lan.</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KẾ TOÁN TRƯỞNG</w:t>
              <w:br/>
            </w:r>
            <w:r>
              <w:rPr>
                <w:rFonts w:ascii="Times New Roman" w:hAnsi="Times New Roman"/>
                <w:b w:val="0"/>
                <w:i/>
                <w:sz w:val="18"/>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NGƯỜI ĐẠI DIỆN THEO PHÁP LUẬT</w:t>
              <w:br/>
            </w:r>
            <w:r>
              <w:rPr>
                <w:rFonts w:ascii="Times New Roman" w:hAnsi="Times New Roman"/>
                <w:b w:val="0"/>
                <w:i/>
                <w:sz w:val="18"/>
              </w:rPr>
              <w:t>(Ký tên, đóng dấu pháp nhân)</w:t>
            </w:r>
          </w:p>
        </w:tc>
      </w:tr>
      <w:tr>
        <w:tc>
          <w:tcPr>
            <w:tcW w:type="dxa" w:w="4608"/>
            <w:tcMar>
              <w:top w:w="60" w:type="dxa"/>
              <w:bottom w:w="60" w:type="dxa"/>
              <w:left w:w="60" w:type="dxa"/>
              <w:right w:w="60" w:type="dxa"/>
            </w:tcMar>
          </w:tcPr>
          <w:p>
            <w:pPr>
              <w:spacing w:before="900"/>
              <w:jc w:val="center"/>
            </w:pPr>
            <w:r>
              <w:rPr>
                <w:rFonts w:ascii="Times New Roman" w:hAnsi="Times New Roman"/>
                <w:b/>
                <w:i w:val="0"/>
                <w:sz w:val="20"/>
              </w:rPr>
              <w:t>Kế toán G-SS</w:t>
            </w:r>
          </w:p>
        </w:tc>
        <w:tc>
          <w:tcPr>
            <w:tcW w:type="dxa" w:w="5040"/>
            <w:tcMar>
              <w:top w:w="60" w:type="dxa"/>
              <w:bottom w:w="60" w:type="dxa"/>
              <w:left w:w="60" w:type="dxa"/>
              <w:right w:w="60" w:type="dxa"/>
            </w:tcMar>
          </w:tcPr>
          <w:p>
            <w:pPr>
              <w:spacing w:before="900"/>
              <w:jc w:val="center"/>
            </w:pPr>
            <w:r>
              <w:rPr>
                <w:rFonts w:ascii="Times New Roman" w:hAnsi="Times New Roman"/>
                <w:b/>
                <w:i w:val="0"/>
                <w:sz w:val="20"/>
              </w:rPr>
              <w:t>NGUYỄN VĂN TRUNG</w:t>
              <w:br/>
              <w:t>Giám đốc</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