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sz w:val="20"/>
        </w:rPr>
        <w:t>-----------------------</w:t>
      </w:r>
    </w:p>
    <w:p>
      <w:pPr>
        <w:spacing w:before="160" w:after="40"/>
        <w:jc w:val="center"/>
      </w:pPr>
      <w:r>
        <w:rPr>
          <w:rFonts w:ascii="Times New Roman" w:hAnsi="Times New Roman"/>
          <w:b/>
          <w:sz w:val="28"/>
        </w:rPr>
        <w:t>HỢP ĐỒNG NGUYÊN TẮC DỊCH VỤ VẬN TẢI HÀNG HÓA ĐƯỜNG BỘ</w:t>
      </w:r>
    </w:p>
    <w:p>
      <w:pPr>
        <w:spacing w:after="160"/>
        <w:jc w:val="center"/>
      </w:pPr>
      <w:r>
        <w:rPr>
          <w:rFonts w:ascii="Times New Roman" w:hAnsi="Times New Roman"/>
          <w:i/>
          <w:sz w:val="21"/>
        </w:rPr>
        <w:t>Số: 269901/HĐNT-VT/GSS-VT</w:t>
        <w:br/>
        <w:t>(Áp dụng cho dịch vụ vận tải hàng hóa đường bộ nội địa và liên vận quốc tế)</w:t>
      </w:r>
    </w:p>
    <w:p>
      <w:pPr>
        <w:spacing w:after="160" w:line="276" w:lineRule="auto"/>
      </w:pPr>
      <w:r>
        <w:rPr>
          <w:rFonts w:ascii="Times New Roman" w:hAnsi="Times New Roman"/>
          <w:i/>
          <w:sz w:val="21"/>
        </w:rPr>
        <w:t>• Căn cứ Bộ luật Dân sự số 91/2015/QH13 được Quốc hội nước CHXHCN Việt Nam thông qua ngày 24/11/2015;</w:t>
        <w:br/>
        <w:t>• Căn cứ Luật Thương mại số 36/2005/QH11 được Quốc hội nước CHXHCN Việt Nam thông qua ngày 14/06/2005;</w:t>
        <w:br/>
        <w:t>• Căn cứ Luật Giao thông đường bộ số 23/2008/QH12 và các văn bản hướng dẫn thi hành hiện hành;</w:t>
        <w:br/>
        <w:t>• Căn cứ vào nhu cầu vận chuyển hàng hóa xuất nhập khẩu và năng lực thực tế của hai Bên.</w:t>
      </w:r>
    </w:p>
    <w:p>
      <w:pPr>
        <w:spacing w:after="120"/>
      </w:pPr>
      <w:r>
        <w:rPr>
          <w:rFonts w:ascii="Times New Roman" w:hAnsi="Times New Roman"/>
          <w:i/>
          <w:sz w:val="22"/>
        </w:rPr>
        <w:t>Hôm nay, ngày 17 tháng 09 năm 2026, tại Trụ sở Bên A, Chúng tôi gồm các Bên dưới đây:</w:t>
      </w:r>
    </w:p>
    <w:tbl>
      <w:tblPr>
        <w:tblW w:type="auto" w:w="0"/>
        <w:jc w:val="center"/>
        <w:tblLook w:firstColumn="1" w:firstRow="1" w:lastColumn="0" w:lastRow="0" w:noHBand="0" w:noVBand="1" w:val="04A0"/>
      </w:tblPr>
      <w:tblGrid>
        <w:gridCol w:w="4701"/>
        <w:gridCol w:w="4701"/>
      </w:tblGrid>
      <w:tr>
        <w:tc>
          <w:tcPr>
            <w:tcW w:type="dxa" w:w="4701"/>
            <w:shd w:fill="F8FAFC"/>
            <w:tcMar>
              <w:top w:w="120" w:type="dxa"/>
              <w:bottom w:w="120" w:type="dxa"/>
              <w:left w:w="140" w:type="dxa"/>
              <w:right w:w="140" w:type="dxa"/>
            </w:tcMar>
          </w:tcPr>
          <w:p>
            <w:pPr>
              <w:spacing w:line="276" w:lineRule="auto" w:after="0"/>
            </w:pPr>
            <w:r>
              <w:rPr>
                <w:rFonts w:ascii="Times New Roman" w:hAnsi="Times New Roman"/>
                <w:b/>
                <w:sz w:val="21"/>
              </w:rPr>
              <w:t>BÊN THUÊ VẬN TẢI (BÊN A):</w:t>
              <w:br/>
            </w:r>
            <w:r>
              <w:rPr>
                <w:rFonts w:ascii="Times New Roman" w:hAnsi="Times New Roman"/>
                <w:sz w:val="20"/>
              </w:rPr>
              <w:t>CÔNG TY TNHH GLOBAL SOLUTION SERVICE</w:t>
              <w:br/>
              <w:t>• Mã số thuế: 0109469047</w:t>
              <w:br/>
              <w:t>• Trụ sở chính: Tầng 18, CEO Tower, Lô HH2-1, Đ. Phạm Hùng, Phường Từ Liêm, Thành phố Hà Nội</w:t>
              <w:br/>
              <w:t>• Đại diện: Ông NGUYỄN VĂN TRUNG</w:t>
              <w:br/>
              <w:t>• Chức vụ: Giám đốc</w:t>
              <w:br/>
              <w:t>• Hotline: 0966 688 525  |  Email: trungnv.gss@gmail.com</w:t>
              <w:br/>
              <w:t>• TÀI KHOẢN THANH TOÁN CƯỚC (VND):</w:t>
              <w:br/>
              <w:t xml:space="preserve">  Số TK: 2991116668888</w:t>
              <w:br/>
              <w:t xml:space="preserve">  Tại: MB Bank (Ngân hàng TMCP Quân Đội) - CN Phùng Hưng</w:t>
            </w:r>
          </w:p>
        </w:tc>
        <w:tc>
          <w:tcPr>
            <w:tcW w:type="dxa" w:w="4701"/>
            <w:shd w:fill="F8FAFC"/>
            <w:tcMar>
              <w:top w:w="120" w:type="dxa"/>
              <w:bottom w:w="120" w:type="dxa"/>
              <w:left w:w="140" w:type="dxa"/>
              <w:right w:w="140" w:type="dxa"/>
            </w:tcMar>
          </w:tcPr>
          <w:p>
            <w:pPr>
              <w:spacing w:line="276" w:lineRule="auto" w:after="0"/>
            </w:pPr>
            <w:r>
              <w:rPr>
                <w:rFonts w:ascii="Times New Roman" w:hAnsi="Times New Roman"/>
                <w:b/>
                <w:sz w:val="21"/>
              </w:rPr>
              <w:t>BÊN NHẬN VẬN TẢI (BÊN B):</w:t>
              <w:br/>
            </w:r>
            <w:r>
              <w:rPr>
                <w:rFonts w:ascii="Times New Roman" w:hAnsi="Times New Roman"/>
                <w:sz w:val="20"/>
              </w:rPr>
              <w:t>CÔNG TY TNHH MTV THƯƠNG MẠI DỊCH VỤ VẬN TẢI VĨNH THÀNH</w:t>
              <w:br/>
              <w:t>• Mã số thuế: 3200722417</w:t>
              <w:br/>
              <w:t>• Trụ sở chính: Thôn Bích Giang, Xã Hiếu Giang, Tỉnh Quảng Trị, Việt Nam</w:t>
              <w:br/>
              <w:t>• Đại diện: Ông LÊ VĂN MINH</w:t>
              <w:br/>
              <w:t>• Chức vụ: Giám đốc</w:t>
              <w:br/>
              <w:t>• Số CCCD: 040084031285 do Cục CSQLHC về TTXH cấp</w:t>
              <w:br/>
              <w:t>• Hotline điều xe: 0985 396 789  |  Email: ctyvinhthanhcl@gmail.com</w:t>
              <w:br/>
              <w:t>• TÀI KHOẢN NHẬN TIỀN CƯỚC (VND):</w:t>
              <w:br/>
              <w:t xml:space="preserve">  Số TK: 050896250001</w:t>
              <w:br/>
              <w:t xml:space="preserve">  Tại: LPBank (Ngân hàng TMCP Lộc Phát VN) - CN Quảng Trị</w:t>
            </w:r>
          </w:p>
        </w:tc>
      </w:tr>
    </w:tbl>
    <w:p>
      <w:pPr>
        <w:spacing w:before="160" w:after="80"/>
      </w:pPr>
      <w:r>
        <w:rPr>
          <w:rFonts w:ascii="Times New Roman" w:hAnsi="Times New Roman"/>
          <w:sz w:val="22"/>
        </w:rPr>
        <w:t>Hai Bên cùng nhau thống nhất ký kết Hợp đồng nguyên tắc dịch vụ vận tải hàng hóa với các điều khoản cụ thể như sau:</w:t>
      </w:r>
    </w:p>
    <w:p>
      <w:pPr>
        <w:spacing w:before="160" w:after="60"/>
      </w:pPr>
      <w:r>
        <w:rPr>
          <w:rFonts w:ascii="Times New Roman" w:hAnsi="Times New Roman"/>
          <w:b/>
          <w:sz w:val="23"/>
        </w:rPr>
        <w:t>ĐIỀU 1: PHẠM VI HỢP ĐỒNG VÀ MÔ HÌNH HỢP TÁC NGUYÊN TẮC</w:t>
      </w:r>
    </w:p>
    <w:p>
      <w:pPr>
        <w:spacing w:after="120" w:line="276" w:lineRule="auto"/>
      </w:pPr>
      <w:r>
        <w:rPr>
          <w:rFonts w:ascii="Times New Roman" w:hAnsi="Times New Roman"/>
          <w:sz w:val="22"/>
        </w:rPr>
        <w:t>1.1. Bên A đồng ý thuê và Bên B đồng ý nhận cung cấp dịch vụ vận tải hàng hóa đường bộ bằng phương tiện xe tải, xe đầu kéo sơ-mi rơ-moóc chuyên dụng từ các nhà máy, kho hàng của Bên A (hoặc do Bên A chỉ định) đến các địa điểm giao hàng, bãi kiểm hóa hoặc cửa khẩu quốc tế theo yêu cầu.</w:t>
        <w:br/>
        <w:t>1.2. Hợp đồng này là Hợp đồng nguyên tắc khung thiết lập tư cách pháp nhân, tiêu chuẩn kỹ thuật an toàn vận tải, nguyên tắc cước phí và cơ chế thanh toán chung giữa hai Bên trong suốt thời hạn hiệu lực.</w:t>
      </w:r>
    </w:p>
    <w:p>
      <w:pPr>
        <w:spacing w:before="160" w:after="60"/>
      </w:pPr>
      <w:r>
        <w:rPr>
          <w:rFonts w:ascii="Times New Roman" w:hAnsi="Times New Roman"/>
          <w:b/>
          <w:sz w:val="23"/>
        </w:rPr>
        <w:t>ĐIỀU 2: CƠ CHẾ ĐIỀU ĐỘNG PHƯƠNG TIỆN THEO PHỤ LỤC TỪNG CHUYẾN HÀNG</w:t>
      </w:r>
    </w:p>
    <w:p>
      <w:pPr>
        <w:spacing w:after="120" w:line="276" w:lineRule="auto"/>
      </w:pPr>
      <w:r>
        <w:rPr>
          <w:rFonts w:ascii="Times New Roman" w:hAnsi="Times New Roman"/>
          <w:sz w:val="22"/>
        </w:rPr>
        <w:t>2.1. Do tính chất biến thiên về khối lượng hàng hóa, chủng loại phương tiện và thời điểm giao nhận của từng đơn hàng, mỗi chuyến xe cụ thể sẽ được xác lập thông qua 01 'Phụ lục hợp đồng kiêm Đơn đặt dịch vụ vận tải &amp; Xác nhận điều xe' (sau đây gọi tắt là Phụ lục chuyến).</w:t>
        <w:br/>
        <w:t>2.2. Nội dung của Phụ lục chuyến bao gồm: Mã đơn hàng/Hợp đồng thương mại tương ứng; Chủng loại và thông số phương tiện (kích thước lọt lòng, tải trọng); Biển số xe kéo, rơ-moóc, danh tính và số điện thoại tài xế; Tuyến đường và giờ xe có mặt; Cước phí dịch vụ thỏa thuận cùng tiến độ thanh toán cụ thể.</w:t>
        <w:br/>
        <w:t>2.3. Mọi Phụ lục chuyến được ký kết bằng văn bản hoặc xác nhận qua email chính thức của người đại diện có thẩm quyền hai Bên đều là bộ phận cấu thành không thể tách rời và chịu sự điều chỉnh của Hợp đồng nguyên tắc này.</w:t>
      </w:r>
    </w:p>
    <w:p>
      <w:pPr>
        <w:spacing w:before="160" w:after="60"/>
      </w:pPr>
      <w:r>
        <w:rPr>
          <w:rFonts w:ascii="Times New Roman" w:hAnsi="Times New Roman"/>
          <w:b/>
          <w:sz w:val="23"/>
        </w:rPr>
        <w:t>ĐIỀU 3: TIÊU CHUẨN KỸ THUẬT PHƯƠNG TIỆN VÀ PHỐI HỢP ĐIỀU XE</w:t>
      </w:r>
    </w:p>
    <w:p>
      <w:pPr>
        <w:spacing w:after="120" w:line="276" w:lineRule="auto"/>
      </w:pPr>
      <w:r>
        <w:rPr>
          <w:rFonts w:ascii="Times New Roman" w:hAnsi="Times New Roman"/>
          <w:sz w:val="22"/>
        </w:rPr>
        <w:t>3.1. Phương tiện vận tải do Bên B điều động phải có Giấy chứng nhận kiểm định an toàn kỹ thuật và bảo vệ môi trường còn hiệu lực; khoang chứa hàng phải bảo đảm khô ráo, sạch sẽ, không có mùi lạ và được che phủ bạt kín nước tuyệt đối trong suốt quá trình vận chuyển.</w:t>
        <w:br/>
        <w:t>3.2. Để tạo điều kiện cho Bên A hoàn tất thủ tục đăng ký xe vào cổng bốc hàng tại nhà máy sản xuất, Bên B có trách nhiệm thông báo thông tin phương tiện (biển số xe, rơ-moóc, họ tên và số điện thoại lái xe) cho Bên A trước tối thiểu 02 (hai) giờ tính đến thời điểm phương tiện có mặt tại kho bốc hàng.</w:t>
        <w:br/>
        <w:t>3.3. Trường hợp phát sinh thay đổi đột xuất về phương tiện hoặc lái xe do sự kiện khách quan, Bên B có trách nhiệm thông báo ngay cho Bên A để kịp thời phối hợp xử lý, bảo đảm không gián đoạn tiến độ giao nhận hàng hóa.</w:t>
      </w:r>
    </w:p>
    <w:p>
      <w:pPr>
        <w:spacing w:before="160" w:after="60"/>
      </w:pPr>
      <w:r>
        <w:rPr>
          <w:rFonts w:ascii="Times New Roman" w:hAnsi="Times New Roman"/>
          <w:b/>
          <w:sz w:val="23"/>
        </w:rPr>
        <w:t>ĐIỀU 4: NGUYÊN TẮC CƯỚC PHÍ VÀ PHƯƠNG THỨC THANH TOÁN</w:t>
      </w:r>
    </w:p>
    <w:p>
      <w:pPr>
        <w:spacing w:after="120" w:line="276" w:lineRule="auto"/>
      </w:pPr>
      <w:r>
        <w:rPr>
          <w:rFonts w:ascii="Times New Roman" w:hAnsi="Times New Roman"/>
          <w:sz w:val="22"/>
        </w:rPr>
        <w:t>4.1. Cước phí vận chuyển được hai Bên thỏa thuận trên tinh thần minh bạch, hợp lý theo từng chuyến xe cụ thể và được ghi nhận rõ ràng tại Phụ lục chuyến. Cước phí thỏa thuận là cước trọn gói, đã bao gồm toàn bộ chi phí nhiên liệu, cầu đường (BOT), bến bãi, phà và công bạt che phủ an toàn.</w:t>
        <w:br/>
        <w:t>4.2. Thanh toán được thực hiện 100% bằng hình thức chuyển khoản ngân hàng giữa tài khoản pháp nhân của hai Bên:</w:t>
        <w:br/>
        <w:t xml:space="preserve">    • Tài khoản thanh toán Bên A: MB Bank VND số 2991116668888 (Chi nhánh Phùng Hưng);</w:t>
        <w:br/>
        <w:t xml:space="preserve">    • Tài khoản thụ hưởng Bên B: LPBank VND số 050896250001 (Chi nhánh Quảng Trị).</w:t>
        <w:br/>
        <w:t>4.3. Tiến độ thanh toán mặc định được chia làm 02 đợt:</w:t>
        <w:br/>
        <w:t xml:space="preserve">    • Đợt 1 (Tạm ứng): 50% cước dịch vụ trước thuế, giải ngân trong vòng 02 giờ làm việc sau khi phương tiện hoàn tất bốc hàng, bấm kẹp chì niêm phong tại kho và bắt đầu lăn bánh trên hành trình (có định vị GPS);</w:t>
        <w:br/>
        <w:t xml:space="preserve">    • Đợt 2 (Quyết toán): 50% cước dịch vụ còn lại cùng toàn bộ thuế GTGT hợp pháp, giải ngân trong vòng 03 đến 05 ngày làm việc kể từ ngày Bên B bàn giao đủ hàng nguyên vẹn chì niêm phong tại địa điểm đích, hai Bên ký Biên bản giao nhận và Bên B cung cấp Hóa đơn GTGT điện tử hợp lệ (file XML và PDF).</w:t>
      </w:r>
    </w:p>
    <w:p>
      <w:pPr>
        <w:spacing w:before="160" w:after="60"/>
      </w:pPr>
      <w:r>
        <w:rPr>
          <w:rFonts w:ascii="Times New Roman" w:hAnsi="Times New Roman"/>
          <w:b/>
          <w:sz w:val="23"/>
        </w:rPr>
        <w:t>ĐIỀU 5: QUY ĐỊNH BẢO ĐẢM AN TOÀN HÀNG HÓA VÀ CAM KẾT HỢP TÁC</w:t>
      </w:r>
    </w:p>
    <w:p>
      <w:pPr>
        <w:spacing w:after="120" w:line="276" w:lineRule="auto"/>
      </w:pPr>
      <w:r>
        <w:rPr>
          <w:rFonts w:ascii="Times New Roman" w:hAnsi="Times New Roman"/>
          <w:sz w:val="22"/>
        </w:rPr>
        <w:t>5.1. Bảo đảm an toàn hàng hóa:</w:t>
        <w:br/>
        <w:t xml:space="preserve">    a) Lái xe có trách nhiệm kiểm tra, giám sát quá trình xếp hàng, bảo đảm hàng hóa được sắp xếp đúng quy cách kỹ thuật (đối với hàng nhẹ, giòn phải chèn lót túi khí/đệm xốp, không xếp chồng vượt quá chiều cao khuyến cáo để tránh bẹp móp bao bì).</w:t>
        <w:br/>
        <w:t xml:space="preserve">    b) Bảo đảm chống thấm dột 100%: Bên B chịu trách nhiệm kiểm tra kỹ lưỡng hệ thống bạt phủ và thùng xe. Trường hợp hàng hóa bị ẩm ướt hoặc hư hại do lỗi thấm dột nước mưa của phương tiện trong quá trình vận chuyển, Bên B có trách nhiệm bồi hoàn giá trị thực tế của phần hàng hóa bị tổn thất.</w:t>
        <w:br/>
        <w:t xml:space="preserve">    c) Niêm phong kẹp chì (Lead Seal): Sau khi hoàn tất bốc hàng tại kho, phương tiện phải được bấm số chì niêm phong và ghi nhận số seri vào Biên bản bàn giao. Chì niêm phong phải được giữ nguyên trạng cho đến khi bàn giao tại địa điểm đích hoặc khi có yêu cầu kiểm tra của cơ quan Hải quan có thẩm quyền.</w:t>
        <w:br/>
        <w:t xml:space="preserve">    d) Trách nhiệm bảo quản: Bên B chịu trách nhiệm bảo quản hàng hóa kể từ thời điểm tiếp nhận tại kho đến khi bàn giao xong tại địa điểm đích. Trường hợp xảy ra mất mát, thiếu hụt hàng hóa do lỗi vận chuyển, Bên B chịu trách nhiệm bồi hoàn theo giá trị thực tế của lô hàng theo Hợp đồng thương mại tương ứng.</w:t>
        <w:br/>
        <w:t>5.2. Cam kết bảo mật thông tin và tôn trọng quan hệ đối tác:</w:t>
        <w:br/>
        <w:t xml:space="preserve">    a) Hai Bên cam kết giữ bí mật toàn bộ thông tin kinh doanh, dữ liệu đơn hàng, đơn giá thương mại và thông tin đối tác tiếp cận được trong quá trình thực hiện hợp đồng.</w:t>
        <w:br/>
        <w:t xml:space="preserve">    b) Xuất phát từ thiện chí hợp tác lâu dài, các Bên cam kết tôn trọng mối quan hệ khách hàng và nhà cung cấp của nhau. Bên B, lái xe và nhân sự liên quan không thực hiện các hành vi tiếp cận thương mại trực tiếp ngoài phạm vi dịch vụ vận chuyển được Bên A ủy thác. Trường hợp vi phạm gây thiệt hại thực tế, Bên vi phạm có trách nhiệm bồi thường toàn bộ thiệt hại theo quy định của Luật Thương mại và pháp luật có liên quan.</w:t>
      </w:r>
    </w:p>
    <w:p>
      <w:pPr>
        <w:spacing w:before="160" w:after="60"/>
      </w:pPr>
      <w:r>
        <w:rPr>
          <w:rFonts w:ascii="Times New Roman" w:hAnsi="Times New Roman"/>
          <w:b/>
          <w:sz w:val="23"/>
        </w:rPr>
        <w:t>ĐIỀU 6: HIỆU LỰC HỢP ĐỒNG VÀ GIẢI QUYẾT TRANH CHẤP</w:t>
      </w:r>
    </w:p>
    <w:p>
      <w:pPr>
        <w:spacing w:after="120" w:line="276" w:lineRule="auto"/>
      </w:pPr>
      <w:r>
        <w:rPr>
          <w:rFonts w:ascii="Times New Roman" w:hAnsi="Times New Roman"/>
          <w:sz w:val="22"/>
        </w:rPr>
        <w:t>6.1. Hợp đồng này có hiệu lực 01 (Một) năm kể từ ngày ký. Khi hết thời hạn, nếu hai Bên không có thông báo chấm dứt bằng văn bản thì Hợp đồng tự động được gia hạn thêm từng năm một.</w:t>
        <w:br/>
        <w:t>6.2. Mọi vướng mắc phát sinh trong quá trình thực hiện được hai Bên ưu tiên giải quyết thông qua thương lượng hòa giải trên tinh thần tôn trọng, bình đẳng và cùng có lợi. Trường hợp không tự hòa giải được, tranh chấp sẽ được đưa ra giải quyết tại Tòa án nhân dân có thẩm quyền tại TP. Hà Nội.</w:t>
        <w:br/>
        <w:t>6.3. Hợp đồng được lập thành 04 (bốn) bản gốc có giá trị pháp lý như nhau, mỗi Bên giữ 02 (hai) bản để thực hiện.</w:t>
      </w:r>
    </w:p>
    <w:tbl>
      <w:tblPr>
        <w:tblW w:type="auto" w:w="0"/>
        <w:jc w:val="center"/>
        <w:tblLook w:firstColumn="1" w:firstRow="1" w:lastColumn="0" w:lastRow="0" w:noHBand="0" w:noVBand="1" w:val="04A0"/>
      </w:tblPr>
      <w:tblGrid>
        <w:gridCol w:w="4701"/>
        <w:gridCol w:w="4701"/>
      </w:tblGrid>
      <w:tr>
        <w:tc>
          <w:tcPr>
            <w:tcW w:type="dxa" w:w="4701"/>
          </w:tcPr>
          <w:p>
            <w:pPr>
              <w:spacing w:line="276" w:lineRule="auto"/>
              <w:jc w:val="center"/>
            </w:pPr>
            <w:r>
              <w:rPr>
                <w:rFonts w:ascii="Times New Roman" w:hAnsi="Times New Roman"/>
                <w:b/>
                <w:sz w:val="22"/>
              </w:rPr>
              <w:t>ĐẠI DIỆN BÊN A</w:t>
              <w:br/>
              <w:t>CÔNG TY TNHH GLOBAL SOLUTION SERVICE</w:t>
              <w:br/>
              <w:t>GIÁM ĐỐC</w:t>
              <w:br/>
              <w:br/>
              <w:br/>
              <w:br/>
              <w:br/>
              <w:br/>
              <w:br/>
              <w:t>NGUYỄN VĂN TRUNG</w:t>
            </w:r>
          </w:p>
        </w:tc>
        <w:tc>
          <w:tcPr>
            <w:tcW w:type="dxa" w:w="4701"/>
          </w:tcPr>
          <w:p>
            <w:pPr>
              <w:spacing w:line="276" w:lineRule="auto"/>
              <w:jc w:val="center"/>
            </w:pPr>
            <w:r>
              <w:rPr>
                <w:rFonts w:ascii="Times New Roman" w:hAnsi="Times New Roman"/>
                <w:b/>
                <w:sz w:val="22"/>
              </w:rPr>
              <w:t>ĐẠI DIỆN BÊN B</w:t>
              <w:br/>
              <w:t>CÔNG TY TNHH MTV THƯƠNG MẠI DỊCH VỤ VẬN TẢI VĨNH THÀNH</w:t>
              <w:br/>
              <w:t>GIÁM ĐỐC</w:t>
              <w:br/>
              <w:br/>
              <w:br/>
              <w:br/>
              <w:br/>
              <w:br/>
              <w:br/>
              <w:t>LÊ VĂN MINH</w:t>
            </w:r>
          </w:p>
        </w:tc>
      </w:tr>
    </w:tbl>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NGUYÊN TẮC DỊCH VỤ VẬN TẢI HÀNG HÓA ĐƯỜNG BỘ</dc:title>
  <dc:subject>Kế hoạch GSS-XNKD-DASH-001 | Đơn hàng GSSDIX_FCA_269901</dc:subject>
  <dc:creator>CÔNG TY TNHH GLOBAL SOLUTION SERVICE (COLTDGSS)</dc:creator>
  <cp:keywords>COLTDGSS;0109469047;3200722417;VINH_THANH;269901;1350_THUNG;15.6M;CANONICAL_SSOT</cp:keywords>
  <dc:description>SSOT:COLTDGSS|Plan:GSS-XNKD-DASH-001|Cước:Thỏa thuận theo phụ lục chuyến|Thời hạn:01 năm</dc:description>
  <cp:lastModifiedBy/>
  <cp:revision>1</cp:revision>
  <dcterms:created xsi:type="dcterms:W3CDTF">2013-12-23T23:15:00Z</dcterms:created>
  <dcterms:modified xsi:type="dcterms:W3CDTF">2013-12-23T23:15:00Z</dcterms:modified>
  <cp:category>TRADE/LOGISTICS/ROAD_TRANSPORT/TIER_1</cp:category>
  <dc:identifier>COLTDGSS:GSSDIX_FCA_269901:HDNT-VT-2026</dc:identifier>
  <cp:contentStatus>CANONICAL_MODEL_VERIFIED</cp:contentStatus>
  <cp:version>2.2.0</cp:version>
</cp:coreProperties>
</file>