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0" w:line="276" w:lineRule="auto"/>
      </w:pPr>
      <w:r>
        <w:rPr>
          <w:rFonts w:ascii="Times New Roman" w:hAnsi="Times New Roman"/>
          <w:b/>
          <w:i w:val="0"/>
          <w:color w:val="000000"/>
          <w:sz w:val="24"/>
        </w:rPr>
        <w:t>CỘNG HÒA XÃ HỘI CHỦ NGHĨA VIỆT NAM</w:t>
      </w:r>
    </w:p>
    <w:p>
      <w:pPr>
        <w:jc w:val="center"/>
        <w:spacing w:before="0" w:after="40" w:line="276" w:lineRule="auto"/>
      </w:pPr>
      <w:r>
        <w:rPr>
          <w:rFonts w:ascii="Times New Roman" w:hAnsi="Times New Roman"/>
          <w:b/>
          <w:i w:val="0"/>
          <w:color w:val="000000"/>
          <w:sz w:val="23"/>
        </w:rPr>
        <w:t>Độc lập – Tự do – Hạnh phúc</w:t>
      </w:r>
    </w:p>
    <w:p>
      <w:pPr>
        <w:jc w:val="center"/>
        <w:spacing w:before="0" w:after="280" w:line="276" w:lineRule="auto"/>
      </w:pPr>
      <w:r>
        <w:rPr>
          <w:rFonts w:ascii="Times New Roman" w:hAnsi="Times New Roman"/>
          <w:b/>
          <w:i w:val="0"/>
          <w:color w:val="000000"/>
          <w:sz w:val="20"/>
        </w:rPr>
        <w:t>— — — — — — — — — — —</w:t>
      </w:r>
    </w:p>
    <w:p>
      <w:pPr>
        <w:jc w:val="center"/>
        <w:spacing w:before="0" w:after="60" w:line="276" w:lineRule="auto"/>
      </w:pPr>
      <w:r>
        <w:rPr>
          <w:rFonts w:ascii="Times New Roman" w:hAnsi="Times New Roman"/>
          <w:b/>
          <w:i w:val="0"/>
          <w:color w:val="000000"/>
          <w:sz w:val="27"/>
        </w:rPr>
        <w:t>HỢP ĐỒNG NGUYÊN TẮC DỊCH VỤ GIAO NHẬN VẬN TẢI ĐA PHƯƠNG THỨC</w:t>
      </w:r>
    </w:p>
    <w:p>
      <w:pPr>
        <w:jc w:val="center"/>
        <w:spacing w:before="0" w:after="60" w:line="276" w:lineRule="auto"/>
      </w:pPr>
      <w:r>
        <w:rPr>
          <w:rFonts w:ascii="Times New Roman" w:hAnsi="Times New Roman"/>
          <w:b/>
          <w:i w:val="0"/>
          <w:color w:val="000000"/>
          <w:sz w:val="26"/>
        </w:rPr>
        <w:t>VÀ ĐẠI LÝ THỦ TỤC HẢI QUAN XUẤT NHẬP KHẨU</w:t>
      </w:r>
    </w:p>
    <w:p>
      <w:pPr>
        <w:jc w:val="center"/>
        <w:spacing w:before="0" w:after="240" w:line="276" w:lineRule="auto"/>
      </w:pPr>
      <w:r>
        <w:rPr>
          <w:rFonts w:ascii="Times New Roman" w:hAnsi="Times New Roman"/>
          <w:b/>
          <w:i/>
          <w:color w:val="000000"/>
          <w:sz w:val="22"/>
        </w:rPr>
        <w:t>Số: 01/2026/HĐNT-DVHQ/GSS-BA</w:t>
      </w:r>
    </w:p>
    <w:p>
      <w:pPr>
        <w:jc w:val="left"/>
        <w:spacing w:before="0" w:after="40" w:line="276" w:lineRule="auto"/>
      </w:pPr>
      <w:r>
        <w:rPr>
          <w:rFonts w:ascii="Times New Roman" w:hAnsi="Times New Roman"/>
          <w:b w:val="0"/>
          <w:i/>
          <w:color w:val="000000"/>
          <w:sz w:val="19"/>
        </w:rPr>
        <w:t>• Căn cứ Bộ luật Dân sự số 91/2015/QH13 ngày 24/11/2015 của Quốc hội nước CHXHCN Việt Nam;</w:t>
      </w:r>
    </w:p>
    <w:p>
      <w:pPr>
        <w:jc w:val="left"/>
        <w:spacing w:before="0" w:after="40" w:line="276" w:lineRule="auto"/>
      </w:pPr>
      <w:r>
        <w:rPr>
          <w:rFonts w:ascii="Times New Roman" w:hAnsi="Times New Roman"/>
          <w:b w:val="0"/>
          <w:i/>
          <w:color w:val="000000"/>
          <w:sz w:val="19"/>
        </w:rPr>
        <w:t>• Căn cứ Luật Thương mại số 36/2005/QH11 ngày 14/06/2005 của Quốc hội nước CHXHCN Việt Nam;</w:t>
      </w:r>
    </w:p>
    <w:p>
      <w:pPr>
        <w:jc w:val="left"/>
        <w:spacing w:before="0" w:after="40" w:line="276" w:lineRule="auto"/>
      </w:pPr>
      <w:r>
        <w:rPr>
          <w:rFonts w:ascii="Times New Roman" w:hAnsi="Times New Roman"/>
          <w:b w:val="0"/>
          <w:i/>
          <w:color w:val="000000"/>
          <w:sz w:val="19"/>
        </w:rPr>
        <w:t>• Căn cứ Luật Hải quan số 54/2014/QH13 ngày 23/06/2014 của Quốc hội nước CHXHCN Việt Nam;</w:t>
      </w:r>
    </w:p>
    <w:p>
      <w:pPr>
        <w:jc w:val="left"/>
        <w:spacing w:before="0" w:after="40" w:line="276" w:lineRule="auto"/>
      </w:pPr>
      <w:r>
        <w:rPr>
          <w:rFonts w:ascii="Times New Roman" w:hAnsi="Times New Roman"/>
          <w:b w:val="0"/>
          <w:i/>
          <w:color w:val="000000"/>
          <w:sz w:val="19"/>
        </w:rPr>
        <w:t>• Căn cứ Bộ luật Hàng hải Việt Nam số 95/2015/QH13 ngày 25/11/2015 của Quốc hội nước CHXHCN Việt Nam;</w:t>
      </w:r>
    </w:p>
    <w:p>
      <w:pPr>
        <w:jc w:val="left"/>
        <w:spacing w:before="0" w:after="40" w:line="276" w:lineRule="auto"/>
      </w:pPr>
      <w:r>
        <w:rPr>
          <w:rFonts w:ascii="Times New Roman" w:hAnsi="Times New Roman"/>
          <w:b w:val="0"/>
          <w:i/>
          <w:color w:val="000000"/>
          <w:sz w:val="19"/>
        </w:rPr>
        <w:t>• Căn cứ Luật Hàng không dân dụng Việt Nam số 66/2006/QH11 và Luật sửa đổi, bổ sung số 61/2014/QH13;</w:t>
      </w:r>
    </w:p>
    <w:p>
      <w:pPr>
        <w:jc w:val="left"/>
        <w:spacing w:before="0" w:after="40" w:line="276" w:lineRule="auto"/>
      </w:pPr>
      <w:r>
        <w:rPr>
          <w:rFonts w:ascii="Times New Roman" w:hAnsi="Times New Roman"/>
          <w:b w:val="0"/>
          <w:i/>
          <w:color w:val="000000"/>
          <w:sz w:val="19"/>
        </w:rPr>
        <w:t>• Căn cứ Luật Giao thông đường bộ số 23/2008/QH12 ngày 13/11/2008 của Quốc hội nước CHXHCN Việt Nam;</w:t>
      </w:r>
    </w:p>
    <w:p>
      <w:pPr>
        <w:jc w:val="left"/>
        <w:spacing w:before="0" w:after="40" w:line="276" w:lineRule="auto"/>
      </w:pPr>
      <w:r>
        <w:rPr>
          <w:rFonts w:ascii="Times New Roman" w:hAnsi="Times New Roman"/>
          <w:b w:val="0"/>
          <w:i/>
          <w:color w:val="000000"/>
          <w:sz w:val="19"/>
        </w:rPr>
        <w:t>• Căn cứ các Hiệp định Thương mại Tự do (FTAs) mà Việt Nam là thành viên và tập quán thương mại quốc tế (Incoterms 2020);</w:t>
      </w:r>
    </w:p>
    <w:p>
      <w:pPr>
        <w:jc w:val="left"/>
        <w:spacing w:before="0" w:after="40" w:line="276" w:lineRule="auto"/>
      </w:pPr>
      <w:r>
        <w:rPr>
          <w:rFonts w:ascii="Times New Roman" w:hAnsi="Times New Roman"/>
          <w:b w:val="0"/>
          <w:i/>
          <w:color w:val="000000"/>
          <w:sz w:val="19"/>
        </w:rPr>
        <w:t>• Căn cứ vào nhu cầu kinh doanh và năng lực thực tế của hai Bên.</w:t>
      </w:r>
    </w:p>
    <w:p>
      <w:pPr>
        <w:jc w:val="left"/>
        <w:spacing w:before="120" w:after="160" w:line="276" w:lineRule="auto"/>
      </w:pPr>
      <w:r>
        <w:rPr>
          <w:rFonts w:ascii="Times New Roman" w:hAnsi="Times New Roman"/>
          <w:b w:val="0"/>
          <w:i/>
          <w:color w:val="000000"/>
          <w:sz w:val="21"/>
        </w:rPr>
        <w:t>Hôm nay, ngày 26 tháng 09 năm 2026, tại Trụ sở Công ty TNHH Global Solution Service, chúng tôi gồm có:</w:t>
      </w:r>
    </w:p>
    <w:p>
      <w:pPr>
        <w:jc w:val="left"/>
        <w:spacing w:before="80" w:after="40" w:line="276" w:lineRule="auto"/>
      </w:pPr>
      <w:r>
        <w:rPr>
          <w:rFonts w:ascii="Times New Roman" w:hAnsi="Times New Roman"/>
          <w:b/>
          <w:i w:val="0"/>
          <w:color w:val="000000"/>
          <w:sz w:val="22"/>
        </w:rPr>
        <w:t>BÊN A (BÊN CUNG ỨNG DỊCH VỤ / ĐẠI LÝ LOGISTICS):</w:t>
      </w:r>
    </w:p>
    <w:p>
      <w:pPr>
        <w:jc w:val="left"/>
        <w:spacing w:before="0" w:after="40" w:line="276" w:lineRule="auto"/>
      </w:pPr>
      <w:r>
        <w:rPr>
          <w:rFonts w:ascii="Times New Roman" w:hAnsi="Times New Roman"/>
          <w:b/>
          <w:i w:val="0"/>
          <w:color w:val="000000"/>
          <w:sz w:val="22"/>
        </w:rPr>
        <w:t>CÔNG TY TNHH THƯƠNG MẠI VÀ DỊCH VỤ LOGISTICS BÌNH AN</w:t>
      </w:r>
    </w:p>
    <w:p>
      <w:pPr>
        <w:jc w:val="left"/>
        <w:spacing w:before="0" w:after="40" w:line="276" w:lineRule="auto"/>
      </w:pPr>
      <w:r>
        <w:rPr>
          <w:rFonts w:ascii="Times New Roman" w:hAnsi="Times New Roman"/>
          <w:b/>
          <w:i w:val="0"/>
          <w:color w:val="000000"/>
          <w:sz w:val="21"/>
        </w:rPr>
        <w:t xml:space="preserve">• Mã số thuế: </w:t>
      </w:r>
      <w:r>
        <w:rPr>
          <w:rFonts w:ascii="Times New Roman" w:hAnsi="Times New Roman"/>
          <w:b w:val="0"/>
          <w:i w:val="0"/>
          <w:color w:val="000000"/>
          <w:sz w:val="21"/>
        </w:rPr>
        <w:t>0107358849</w:t>
      </w:r>
    </w:p>
    <w:p>
      <w:pPr>
        <w:jc w:val="left"/>
        <w:spacing w:before="0" w:after="40" w:line="276" w:lineRule="auto"/>
      </w:pPr>
      <w:r>
        <w:rPr>
          <w:rFonts w:ascii="Times New Roman" w:hAnsi="Times New Roman"/>
          <w:b/>
          <w:i w:val="0"/>
          <w:color w:val="000000"/>
          <w:sz w:val="21"/>
        </w:rPr>
        <w:t xml:space="preserve">• Địa chỉ trụ sở: </w:t>
      </w:r>
      <w:r>
        <w:rPr>
          <w:rFonts w:ascii="Times New Roman" w:hAnsi="Times New Roman"/>
          <w:b w:val="0"/>
          <w:i w:val="0"/>
          <w:color w:val="000000"/>
          <w:sz w:val="21"/>
        </w:rPr>
        <w:t>Số 1, ngách 93/2 Bùi Xương Trạch, Phường Khương Đình, Quận Thanh Xuân, Thành phố Hà Nội, Việt Nam</w:t>
      </w:r>
    </w:p>
    <w:p>
      <w:pPr>
        <w:jc w:val="left"/>
        <w:spacing w:before="0" w:after="40" w:line="276" w:lineRule="auto"/>
      </w:pPr>
      <w:r>
        <w:rPr>
          <w:rFonts w:ascii="Times New Roman" w:hAnsi="Times New Roman"/>
          <w:b/>
          <w:i w:val="0"/>
          <w:color w:val="000000"/>
          <w:sz w:val="21"/>
        </w:rPr>
        <w:t xml:space="preserve">• Người đại diện: </w:t>
      </w:r>
      <w:r>
        <w:rPr>
          <w:rFonts w:ascii="Times New Roman" w:hAnsi="Times New Roman"/>
          <w:b/>
          <w:i w:val="0"/>
          <w:color w:val="000000"/>
          <w:sz w:val="21"/>
        </w:rPr>
        <w:t>Ông LÊ VĂN HUÂN</w:t>
      </w:r>
      <w:r>
        <w:rPr>
          <w:rFonts w:ascii="Times New Roman" w:hAnsi="Times New Roman"/>
          <w:b/>
          <w:i w:val="0"/>
          <w:color w:val="000000"/>
          <w:sz w:val="21"/>
        </w:rPr>
        <w:t xml:space="preserve">            Chức vụ: </w:t>
      </w:r>
      <w:r>
        <w:rPr>
          <w:rFonts w:ascii="Times New Roman" w:hAnsi="Times New Roman"/>
          <w:b w:val="0"/>
          <w:i w:val="0"/>
          <w:color w:val="000000"/>
          <w:sz w:val="21"/>
        </w:rPr>
        <w:t>Giám đốc</w:t>
      </w:r>
    </w:p>
    <w:p>
      <w:pPr>
        <w:jc w:val="left"/>
        <w:spacing w:before="0" w:after="40" w:line="276" w:lineRule="auto"/>
      </w:pPr>
      <w:r>
        <w:rPr>
          <w:rFonts w:ascii="Times New Roman" w:hAnsi="Times New Roman"/>
          <w:b/>
          <w:i w:val="0"/>
          <w:color w:val="000000"/>
          <w:sz w:val="21"/>
        </w:rPr>
        <w:t xml:space="preserve">• Điện thoại hotline: </w:t>
      </w:r>
      <w:r>
        <w:rPr>
          <w:rFonts w:ascii="Times New Roman" w:hAnsi="Times New Roman"/>
          <w:b w:val="0"/>
          <w:i w:val="0"/>
          <w:color w:val="000000"/>
          <w:sz w:val="21"/>
        </w:rPr>
        <w:t>091 227 8136</w:t>
      </w:r>
    </w:p>
    <w:p>
      <w:pPr>
        <w:jc w:val="left"/>
        <w:spacing w:before="0" w:after="160" w:line="276" w:lineRule="auto"/>
      </w:pPr>
      <w:r>
        <w:rPr>
          <w:rFonts w:ascii="Times New Roman" w:hAnsi="Times New Roman"/>
          <w:b/>
          <w:i w:val="0"/>
          <w:color w:val="000000"/>
          <w:sz w:val="21"/>
        </w:rPr>
        <w:t xml:space="preserve">• Tài khoản ngân hàng: </w:t>
      </w:r>
      <w:r>
        <w:rPr>
          <w:rFonts w:ascii="Times New Roman" w:hAnsi="Times New Roman"/>
          <w:b/>
          <w:i w:val="0"/>
          <w:color w:val="000000"/>
          <w:sz w:val="21"/>
        </w:rPr>
        <w:t>0451000362923</w:t>
      </w:r>
      <w:r>
        <w:rPr>
          <w:rFonts w:ascii="Times New Roman" w:hAnsi="Times New Roman"/>
          <w:b w:val="0"/>
          <w:i w:val="0"/>
          <w:color w:val="000000"/>
          <w:sz w:val="21"/>
        </w:rPr>
        <w:t xml:space="preserve"> tại Ngân hàng TMCP Ngoại Thương Việt Nam (Vietcombank) – Chi nhánh Thành Công, Hà Nội</w:t>
      </w:r>
    </w:p>
    <w:p>
      <w:pPr>
        <w:jc w:val="left"/>
        <w:spacing w:before="80" w:after="40" w:line="276" w:lineRule="auto"/>
      </w:pPr>
      <w:r>
        <w:rPr>
          <w:rFonts w:ascii="Times New Roman" w:hAnsi="Times New Roman"/>
          <w:b/>
          <w:i w:val="0"/>
          <w:color w:val="000000"/>
          <w:sz w:val="22"/>
        </w:rPr>
        <w:t>BÊN B (BÊN THUÊ DỊCH VỤ / CHỦ HÀNG):</w:t>
      </w:r>
    </w:p>
    <w:p>
      <w:pPr>
        <w:jc w:val="left"/>
        <w:spacing w:before="0" w:after="40" w:line="276" w:lineRule="auto"/>
      </w:pPr>
      <w:r>
        <w:rPr>
          <w:rFonts w:ascii="Times New Roman" w:hAnsi="Times New Roman"/>
          <w:b/>
          <w:i w:val="0"/>
          <w:color w:val="000000"/>
          <w:sz w:val="22"/>
        </w:rPr>
        <w:t>CÔNG TY TNHH GLOBAL SOLUTION SERVICE (G-SS CO.,LTD)</w:t>
      </w:r>
    </w:p>
    <w:p>
      <w:pPr>
        <w:jc w:val="left"/>
        <w:spacing w:before="0" w:after="40" w:line="276" w:lineRule="auto"/>
      </w:pPr>
      <w:r>
        <w:rPr>
          <w:rFonts w:ascii="Times New Roman" w:hAnsi="Times New Roman"/>
          <w:b/>
          <w:i w:val="0"/>
          <w:color w:val="000000"/>
          <w:sz w:val="21"/>
        </w:rPr>
        <w:t xml:space="preserve">• Mã số thuế: </w:t>
      </w:r>
      <w:r>
        <w:rPr>
          <w:rFonts w:ascii="Times New Roman" w:hAnsi="Times New Roman"/>
          <w:b/>
          <w:i w:val="0"/>
          <w:color w:val="000000"/>
          <w:sz w:val="21"/>
        </w:rPr>
        <w:t>0109469047</w:t>
      </w:r>
    </w:p>
    <w:p>
      <w:pPr>
        <w:jc w:val="left"/>
        <w:spacing w:before="0" w:after="40" w:line="276" w:lineRule="auto"/>
      </w:pPr>
      <w:r>
        <w:rPr>
          <w:rFonts w:ascii="Times New Roman" w:hAnsi="Times New Roman"/>
          <w:b/>
          <w:i w:val="0"/>
          <w:color w:val="000000"/>
          <w:sz w:val="21"/>
        </w:rPr>
        <w:t xml:space="preserve">• Địa chỉ trụ sở chính (SSOT): </w:t>
      </w:r>
      <w:r>
        <w:rPr>
          <w:rFonts w:ascii="Times New Roman" w:hAnsi="Times New Roman"/>
          <w:b w:val="0"/>
          <w:i w:val="0"/>
          <w:color w:val="000000"/>
          <w:sz w:val="21"/>
        </w:rPr>
        <w:t>Tầng 18, tòa nhà CEO Tower, Lô HH2-1, Khu đô thị Mễ Trì Hạ, đường Phạm Hùng, Phường Từ Liêm, Thành phố Hà Nội, Việt Nam</w:t>
      </w:r>
    </w:p>
    <w:p>
      <w:pPr>
        <w:jc w:val="left"/>
        <w:spacing w:before="0" w:after="40" w:line="276" w:lineRule="auto"/>
      </w:pPr>
      <w:r>
        <w:rPr>
          <w:rFonts w:ascii="Times New Roman" w:hAnsi="Times New Roman"/>
          <w:b/>
          <w:i w:val="0"/>
          <w:color w:val="000000"/>
          <w:sz w:val="21"/>
        </w:rPr>
        <w:t xml:space="preserve">• Người đại diện pháp luật: </w:t>
      </w:r>
      <w:r>
        <w:rPr>
          <w:rFonts w:ascii="Times New Roman" w:hAnsi="Times New Roman"/>
          <w:b/>
          <w:i w:val="0"/>
          <w:color w:val="000000"/>
          <w:sz w:val="21"/>
        </w:rPr>
        <w:t>Ông NGUYỄN VĂN TRUNG</w:t>
      </w:r>
      <w:r>
        <w:rPr>
          <w:rFonts w:ascii="Times New Roman" w:hAnsi="Times New Roman"/>
          <w:b/>
          <w:i w:val="0"/>
          <w:color w:val="000000"/>
          <w:sz w:val="21"/>
        </w:rPr>
        <w:t xml:space="preserve">            Chức vụ: </w:t>
      </w:r>
      <w:r>
        <w:rPr>
          <w:rFonts w:ascii="Times New Roman" w:hAnsi="Times New Roman"/>
          <w:b w:val="0"/>
          <w:i w:val="0"/>
          <w:color w:val="000000"/>
          <w:sz w:val="21"/>
        </w:rPr>
        <w:t>Giám đốc</w:t>
      </w:r>
    </w:p>
    <w:p>
      <w:pPr>
        <w:jc w:val="left"/>
        <w:spacing w:before="0" w:after="40" w:line="276" w:lineRule="auto"/>
      </w:pPr>
      <w:r>
        <w:rPr>
          <w:rFonts w:ascii="Times New Roman" w:hAnsi="Times New Roman"/>
          <w:b/>
          <w:i w:val="0"/>
          <w:color w:val="000000"/>
          <w:sz w:val="21"/>
        </w:rPr>
        <w:t xml:space="preserve">• Điện thoại hotline: </w:t>
      </w:r>
      <w:r>
        <w:rPr>
          <w:rFonts w:ascii="Times New Roman" w:hAnsi="Times New Roman"/>
          <w:b w:val="0"/>
          <w:i w:val="0"/>
          <w:color w:val="000000"/>
          <w:sz w:val="21"/>
        </w:rPr>
        <w:t>0966688525</w:t>
      </w:r>
    </w:p>
    <w:p>
      <w:pPr>
        <w:jc w:val="left"/>
        <w:spacing w:before="0" w:after="40" w:line="276" w:lineRule="auto"/>
      </w:pPr>
      <w:r>
        <w:rPr>
          <w:rFonts w:ascii="Times New Roman" w:hAnsi="Times New Roman"/>
          <w:b/>
          <w:i w:val="0"/>
          <w:color w:val="000000"/>
          <w:sz w:val="21"/>
        </w:rPr>
        <w:t xml:space="preserve">• Email nhận Hóa đơn GTGT &amp; Kế toán: </w:t>
      </w:r>
      <w:r>
        <w:rPr>
          <w:rFonts w:ascii="Times New Roman" w:hAnsi="Times New Roman"/>
          <w:b w:val="0"/>
          <w:i w:val="0"/>
          <w:color w:val="000000"/>
          <w:sz w:val="21"/>
        </w:rPr>
        <w:t>safetylife.1st@gmail.com</w:t>
      </w:r>
      <w:r>
        <w:rPr>
          <w:rFonts w:ascii="Times New Roman" w:hAnsi="Times New Roman"/>
          <w:b/>
          <w:i w:val="0"/>
          <w:color w:val="000000"/>
          <w:sz w:val="21"/>
        </w:rPr>
        <w:t xml:space="preserve"> | Email Giám đốc: </w:t>
      </w:r>
      <w:r>
        <w:rPr>
          <w:rFonts w:ascii="Times New Roman" w:hAnsi="Times New Roman"/>
          <w:b w:val="0"/>
          <w:i w:val="0"/>
          <w:color w:val="000000"/>
          <w:sz w:val="21"/>
        </w:rPr>
        <w:t>trungnv.gss@gmail.com</w:t>
      </w:r>
    </w:p>
    <w:p>
      <w:pPr>
        <w:jc w:val="left"/>
        <w:spacing w:before="0" w:after="160" w:line="276" w:lineRule="auto"/>
      </w:pPr>
      <w:r>
        <w:rPr>
          <w:rFonts w:ascii="Times New Roman" w:hAnsi="Times New Roman"/>
          <w:b/>
          <w:i w:val="0"/>
          <w:color w:val="000000"/>
          <w:sz w:val="21"/>
        </w:rPr>
        <w:t xml:space="preserve">• Tài khoản thanh toán chính: </w:t>
      </w:r>
      <w:r>
        <w:rPr>
          <w:rFonts w:ascii="Times New Roman" w:hAnsi="Times New Roman"/>
          <w:b/>
          <w:i w:val="0"/>
          <w:color w:val="000000"/>
          <w:sz w:val="21"/>
        </w:rPr>
        <w:t>2991116668888</w:t>
      </w:r>
      <w:r>
        <w:rPr>
          <w:rFonts w:ascii="Times New Roman" w:hAnsi="Times New Roman"/>
          <w:b w:val="0"/>
          <w:i w:val="0"/>
          <w:color w:val="000000"/>
          <w:sz w:val="21"/>
        </w:rPr>
        <w:t xml:space="preserve"> tại Ngân hàng TMCP Quân Đội (MB Bank) – Chi nhánh Phùng Hưng, Hà Nội</w:t>
      </w:r>
    </w:p>
    <w:p>
      <w:pPr>
        <w:jc w:val="left"/>
        <w:spacing w:before="80" w:after="160" w:line="276" w:lineRule="auto"/>
      </w:pPr>
      <w:r>
        <w:rPr>
          <w:rFonts w:ascii="Times New Roman" w:hAnsi="Times New Roman"/>
          <w:b w:val="0"/>
          <w:i/>
          <w:color w:val="000000"/>
          <w:sz w:val="21"/>
        </w:rPr>
        <w:t>Hai Bên thống nhất ký kết Hợp đồng nguyên tắc dịch vụ giao nhận vận tải đa phương thức và đại lý hải quan dài hạn với các điều khoản và điều kiện chi tiết sau đây:</w:t>
      </w:r>
    </w:p>
    <w:p>
      <w:pPr>
        <w:jc w:val="left"/>
        <w:spacing w:before="200" w:after="80" w:line="276" w:lineRule="auto"/>
      </w:pPr>
      <w:r>
        <w:rPr>
          <w:rFonts w:ascii="Times New Roman" w:hAnsi="Times New Roman"/>
          <w:b/>
          <w:i w:val="0"/>
          <w:color w:val="000000"/>
          <w:sz w:val="22"/>
        </w:rPr>
        <w:t>ĐIỀU 1: PHẠM VI DỊCH VỤ TOÀN DIỆN VÀ CƠ CHẾ ĐIỀU HÀNH THEO ĐƠN ĐẶT HÀNG (PO)</w:t>
      </w:r>
    </w:p>
    <w:p>
      <w:pPr>
        <w:jc w:val="left"/>
        <w:spacing w:before="0" w:after="60" w:line="276" w:lineRule="auto"/>
      </w:pPr>
      <w:r>
        <w:rPr>
          <w:rFonts w:ascii="Times New Roman" w:hAnsi="Times New Roman"/>
          <w:b w:val="0"/>
          <w:i w:val="0"/>
          <w:color w:val="000000"/>
          <w:sz w:val="21"/>
        </w:rPr>
        <w:t>1.1. Hợp đồng này là Hợp đồng nguyên tắc khung (Master Agreement) xác lập các quy chuẩn pháp lý, nguyên tắc hợp tác và trách nhiệm của hai Bên trong việc Bên A cung ứng các dịch vụ logistics đa phương thức, giao nhận vận tải quốc tế và nội địa, cùng dịch vụ đại lý hải quan cho các lô hàng xuất nhập khẩu của Bên B.</w:t>
      </w:r>
    </w:p>
    <w:p>
      <w:pPr>
        <w:jc w:val="left"/>
        <w:spacing w:before="0" w:after="60" w:line="276" w:lineRule="auto"/>
      </w:pPr>
      <w:r>
        <w:rPr>
          <w:rFonts w:ascii="Times New Roman" w:hAnsi="Times New Roman"/>
          <w:b w:val="0"/>
          <w:i w:val="0"/>
          <w:color w:val="000000"/>
          <w:sz w:val="21"/>
        </w:rPr>
        <w:t>1.2. Phạm vi dịch vụ đa phương thức bao gồm nhưng không giới hạn ở các phương thức sau:</w:t>
        <w:br/>
        <w:t xml:space="preserve">   a) Vận tải đường biển (Ocean / Sea Freight): Giao nhận hàng nguyên container (FCL), hàng lẻ (LCL) qua các cảng biển (Hải Phòng, Cát Lái, Cái Mép, Đà Nẵng...); đặt chỗ hãng tàu (booking), thu xếp cước biển (Ocean Freight), phát hành vận đơn đường biển (B/L, Sea Waybill), thủ tục hãng tàu, quản lý vỏ cont, kiểm soát thời gian miễn phí lưu bãi/lưu container (Demurrage &amp; Detention - DEM/DET), thanh toán local charges.</w:t>
        <w:br/>
        <w:t xml:space="preserve">   b) Vận tải đường hàng không (Air Freight): Giao nhận hàng qua các cảng hàng không quốc tế (Nội Bài, Tân Sơn Nhất...); đặt tải hãng hàng không, phát hành vận đơn hàng không (AWB/HAWB), làm việc với các kho hàng không (NCTS, ACSV, TCS...), kiểm tra an ninh soi chiếu, dán nhãn hàng không.</w:t>
        <w:br/>
        <w:t xml:space="preserve">   c) Vận tải đường bộ &amp; Cửa khẩu biên giới (Road &amp; Cross-Border Logistics): Vận tải đường bộ nội địa kết nối kho nhà máy đến cảng/sân bay/cửa khẩu; vận tải liên vận xuyên biên giới qua các Cửa khẩu Quốc tế (Lao Bảo, Cha Lo, Hữu Nghị, Móng Cái, Mộc Bài...); thủ tục sang hàng chuyển tải tại bãi kiểm hóa, đổi đầu kéo hoặc xe quá cảnh liên vận, kẹp chì niêm phong hải quan, thủ tục biên phòng cửa khẩu.</w:t>
        <w:br/>
        <w:t xml:space="preserve">   d) Dịch vụ Đại lý Hải quan &amp; Kiểm tra chuyên ngành: Đăng ký hồ sơ thương nhân, tư vấn mã số HS Code, thuế suất, lập và truyền tờ khai hải quan điện tử VNACCS/VCIS (xuất khẩu B11, nhập khẩu A11, tạm nhập tái xuất, gia công, sản xuất xuất khẩu...); đại diện mở hàng kiểm hóa luồng Đỏ; đăng ký kiểm tra chuyên ngành (kiểm dịch thực vật, ATTP, hợp quy).</w:t>
        <w:br/>
        <w:t xml:space="preserve">   e) Dịch vụ cấp Giấy chứng nhận xuất xứ hàng hóa (C/O): Soát xét định mức BOM, cam kết xuất xứ, thực hiện kê khai điện tử và xin cấp C/O các form ưu đãi trên hệ thống eCoSys của Bộ Công Thương hoặc VCCI (Form D ATIGA, Form E, Form AK, Form AJ, Form EUR.1, Form CPTPP...).</w:t>
      </w:r>
    </w:p>
    <w:p>
      <w:pPr>
        <w:jc w:val="left"/>
        <w:spacing w:before="0" w:after="60" w:line="276" w:lineRule="auto"/>
      </w:pPr>
      <w:r>
        <w:rPr>
          <w:rFonts w:ascii="Times New Roman" w:hAnsi="Times New Roman"/>
          <w:b w:val="0"/>
          <w:i w:val="0"/>
          <w:color w:val="000000"/>
          <w:sz w:val="21"/>
        </w:rPr>
        <w:t>1.3. Cơ chế điều hành linh hoạt theo Đơn đặt dịch vụ (PO) / Phụ lục đơn hàng:</w:t>
        <w:br/>
        <w:t xml:space="preserve">   - Hợp đồng nguyên tắc này quy định khung pháp lý chung. Đối với mỗi lô hàng phát sinh cụ thể, Bên B sẽ gửi Đơn đặt dịch vụ (Service Purchase Order - PO) hoặc Phụ lục đơn hàng bằng văn bản/email cho Bên A.</w:t>
        <w:br/>
        <w:t xml:space="preserve">   - PO xác định cụ thể: Phương thức vận chuyển (đường biển, đường hàng không, đường bộ), Mã đơn hàng, Tên hàng, Số lượng, Điểm nhận hàng, Cảng/Cửa khẩu/Sân bay thực hiện, Biểu phí dịch vụ áp dụng và các yêu cầu kỹ thuật chi tiết.</w:t>
        <w:br/>
        <w:t xml:space="preserve">   - PO được hai bên xác nhận qua văn bản hoặc email có giá trị pháp lý gắn liền và là một bộ phận không tách rời của Hợp đồng nguyên tắc này.</w:t>
      </w:r>
    </w:p>
    <w:p>
      <w:pPr>
        <w:jc w:val="left"/>
        <w:spacing w:before="200" w:after="80" w:line="276" w:lineRule="auto"/>
      </w:pPr>
      <w:r>
        <w:rPr>
          <w:rFonts w:ascii="Times New Roman" w:hAnsi="Times New Roman"/>
          <w:b/>
          <w:i w:val="0"/>
          <w:color w:val="000000"/>
          <w:sz w:val="22"/>
        </w:rPr>
        <w:t>ĐIỀU 2: TIÊU CHUẨN DỊCH VỤ (SLA) VÀ QUY TRÌNH PHỐI HỢP NGHIỆP VỤ</w:t>
      </w:r>
    </w:p>
    <w:p>
      <w:pPr>
        <w:jc w:val="left"/>
        <w:spacing w:before="0" w:after="60" w:line="276" w:lineRule="auto"/>
      </w:pPr>
      <w:r>
        <w:rPr>
          <w:rFonts w:ascii="Times New Roman" w:hAnsi="Times New Roman"/>
          <w:b w:val="0"/>
          <w:i w:val="0"/>
          <w:color w:val="000000"/>
          <w:sz w:val="21"/>
        </w:rPr>
        <w:t>2.1. Tiếp nhận và soát xét hồ sơ: Trong vòng 04 giờ làm việc kể từ khi nhận đủ bản mềm chứng từ hàng hóa từ Bên B, Bên A có trách nhiệm rà soát tính hợp lệ của chứng từ, tư vấn mã HS code, mức thuế suất, lập bản nháp tờ khai hải quan và gửi Bên B kiểm duyệt trước khi bấm truyền chính thức trên hệ thống VNACCS.</w:t>
      </w:r>
    </w:p>
    <w:p>
      <w:pPr>
        <w:jc w:val="left"/>
        <w:spacing w:before="0" w:after="60" w:line="276" w:lineRule="auto"/>
      </w:pPr>
      <w:r>
        <w:rPr>
          <w:rFonts w:ascii="Times New Roman" w:hAnsi="Times New Roman"/>
          <w:b w:val="0"/>
          <w:i w:val="0"/>
          <w:color w:val="000000"/>
          <w:sz w:val="21"/>
        </w:rPr>
        <w:t>2.2. Tiến độ thực hiện dịch vụ đối với từng phương thức vận tải:</w:t>
        <w:br/>
        <w:t xml:space="preserve">   a) Đối với hàng đường biển: Bên A đảm bảo theo dõi sát lịch tàu chạy (ETD), lịch tàu đến (ETA), nộp hồ sơ lấy lệnh giao hàng (D/O) kịp thời, hoàn tất thủ tục thông quan cảng trong vòng 24 - 48 giờ làm việc, tránh phát sinh phí lưu cont, lưu bãi (DEM/DET) ngoài ý muốn.</w:t>
        <w:br/>
        <w:t xml:space="preserve">   b) Đối với hàng đường hàng không: Bên A tiến hành nhận hàng hoặc giao hàng tại kho hàng không nhanh chóng, hoàn tất thông quan trong vòng 04 - 08 giờ làm việc kể từ khi hàng đến kho.</w:t>
        <w:br/>
        <w:t xml:space="preserve">   c) Đối với hàng đường bộ qua cửa khẩu quốc tế: Hoàn tất thủ tục tờ khai Luồng Xanh/Vàng trong vòng 04 giờ làm việc; Luồng Đỏ kiểm hóa trong ngày. Phối hợp nhịp nhàng việc sang hàng chuyển tải hoặc đổi phương tiện tại bãi kiểm hóa cửa khẩu.</w:t>
        <w:br/>
        <w:t xml:space="preserve">   d) Đối với thủ tục cấp C/O: Hoàn tất việc kê khai và xin cấp C/O điện tử (hoặc bản giấy) trong vòng 24 giờ làm việc kể từ thời điểm tờ khai xuất khẩu hoàn thành thông quan.</w:t>
      </w:r>
    </w:p>
    <w:p>
      <w:pPr>
        <w:jc w:val="left"/>
        <w:spacing w:before="200" w:after="80" w:line="276" w:lineRule="auto"/>
      </w:pPr>
      <w:r>
        <w:rPr>
          <w:rFonts w:ascii="Times New Roman" w:hAnsi="Times New Roman"/>
          <w:b/>
          <w:i w:val="0"/>
          <w:color w:val="000000"/>
          <w:sz w:val="22"/>
        </w:rPr>
        <w:t>ĐIỀU 3: GIÁ CƯỚC, PHỤ PHÍ PHÁT SINH VÀ NGUYÊN TẮC PHÊ DUYỆT TRƯỚC (PRE-APPROVAL)</w:t>
      </w:r>
    </w:p>
    <w:p>
      <w:pPr>
        <w:jc w:val="left"/>
        <w:spacing w:before="0" w:after="60" w:line="276" w:lineRule="auto"/>
      </w:pPr>
      <w:r>
        <w:rPr>
          <w:rFonts w:ascii="Times New Roman" w:hAnsi="Times New Roman"/>
          <w:b w:val="0"/>
          <w:i w:val="0"/>
          <w:color w:val="000000"/>
          <w:sz w:val="21"/>
        </w:rPr>
        <w:t>3.1. Biểu phí dịch vụ cơ sở: Giá cước vận tải (đường biển, hàng không, đường bộ), phí làm hàng cảng/kho bãi và phí dịch vụ đại lý hải quan được hai Bên thống nhất cụ thể theo Biểu giá đính kèm hoặc được chốt cụ thể tại từng Đơn đặt dịch vụ (PO).</w:t>
      </w:r>
    </w:p>
    <w:p>
      <w:pPr>
        <w:jc w:val="left"/>
        <w:spacing w:before="0" w:after="60" w:line="276" w:lineRule="auto"/>
      </w:pPr>
      <w:r>
        <w:rPr>
          <w:rFonts w:ascii="Times New Roman" w:hAnsi="Times New Roman"/>
          <w:b w:val="0"/>
          <w:i w:val="0"/>
          <w:color w:val="000000"/>
          <w:sz w:val="21"/>
        </w:rPr>
        <w:t>3.2. Nguyên tắc phê duyệt trước phụ phí (Pre-Approval Rule): Trong quá trình tác nghiệp thực tế tại cảng biển, sân bay hoặc cửa khẩu biên giới, nếu phát sinh các chi phí ngoài dự toán ban đầu (như phí kiểm hóa ngoài giờ, phí lưu ca xe, phí nâng hạ LOLO bãi phát sinh, phí cược cont hãng tàu, phụ phí chuyển tải), Bên A có trách nhiệm thông báo ngay bằng văn bản/email/tin nhắn dự toán chi phí cho Bên B và chỉ tiến hành sau khi nhận được sự đồng thuận của Bên B.</w:t>
      </w:r>
    </w:p>
    <w:p>
      <w:pPr>
        <w:jc w:val="left"/>
        <w:spacing w:before="0" w:after="60" w:line="276" w:lineRule="auto"/>
      </w:pPr>
      <w:r>
        <w:rPr>
          <w:rFonts w:ascii="Times New Roman" w:hAnsi="Times New Roman"/>
          <w:b w:val="0"/>
          <w:i w:val="0"/>
          <w:color w:val="000000"/>
          <w:sz w:val="21"/>
        </w:rPr>
        <w:t>3.3. Tính minh bạch chứng từ: Mọi khoản phí dịch vụ và phụ phí được Bên A tổng hợp chi tiết trên Bảng kê dịch vụ (Debit Note), có đầy đủ hóa đơn GTGT điện tử, biên lai, chứng từ hợp lệ của hãng tàu, cảng biển hoặc cơ quan quản lý nhà nước để Bên B nghiệm thu và quyết toán thuế.</w:t>
      </w:r>
    </w:p>
    <w:p>
      <w:pPr>
        <w:jc w:val="left"/>
        <w:spacing w:before="200" w:after="80" w:line="276" w:lineRule="auto"/>
      </w:pPr>
      <w:r>
        <w:rPr>
          <w:rFonts w:ascii="Times New Roman" w:hAnsi="Times New Roman"/>
          <w:b/>
          <w:i w:val="0"/>
          <w:color w:val="000000"/>
          <w:sz w:val="22"/>
        </w:rPr>
        <w:t>ĐIỀU 4: QUYỀN VÀ NGHĨA VỤ CỦA BÊN B (BÊN THUÊ DỊCH VỤ)</w:t>
      </w:r>
    </w:p>
    <w:p>
      <w:pPr>
        <w:jc w:val="left"/>
        <w:spacing w:before="0" w:after="60" w:line="276" w:lineRule="auto"/>
      </w:pPr>
      <w:r>
        <w:rPr>
          <w:rFonts w:ascii="Times New Roman" w:hAnsi="Times New Roman"/>
          <w:b w:val="0"/>
          <w:i w:val="0"/>
          <w:color w:val="000000"/>
          <w:sz w:val="21"/>
        </w:rPr>
        <w:t>4.1. Cung cấp đầy đủ, chính xác và kịp thời các chứng từ pháp lý, hóa đơn, chứng từ hàng hóa, thông tin nhà máy, phương tiện vận tải và các tài liệu cần thiết để Bên A tác nghiệp.</w:t>
      </w:r>
    </w:p>
    <w:p>
      <w:pPr>
        <w:jc w:val="left"/>
        <w:spacing w:before="0" w:after="60" w:line="276" w:lineRule="auto"/>
      </w:pPr>
      <w:r>
        <w:rPr>
          <w:rFonts w:ascii="Times New Roman" w:hAnsi="Times New Roman"/>
          <w:b w:val="0"/>
          <w:i w:val="0"/>
          <w:color w:val="000000"/>
          <w:sz w:val="21"/>
        </w:rPr>
        <w:t>4.2. Chịu trách nhiệm về tính hợp pháp, tính xác thực của xuất xứ và chất lượng hàng hóa thuộc sở hữu của Bên B.</w:t>
      </w:r>
    </w:p>
    <w:p>
      <w:pPr>
        <w:jc w:val="left"/>
        <w:spacing w:before="0" w:after="60" w:line="276" w:lineRule="auto"/>
      </w:pPr>
      <w:r>
        <w:rPr>
          <w:rFonts w:ascii="Times New Roman" w:hAnsi="Times New Roman"/>
          <w:b w:val="0"/>
          <w:i w:val="0"/>
          <w:color w:val="000000"/>
          <w:sz w:val="21"/>
        </w:rPr>
        <w:t>4.3. Phê duyệt kịp thời bản nháp tờ khai hải quan, bản nháp C/O và các văn bản điều chỉnh khi Bên A gửi đối soát.</w:t>
      </w:r>
    </w:p>
    <w:p>
      <w:pPr>
        <w:jc w:val="left"/>
        <w:spacing w:before="0" w:after="60" w:line="276" w:lineRule="auto"/>
      </w:pPr>
      <w:r>
        <w:rPr>
          <w:rFonts w:ascii="Times New Roman" w:hAnsi="Times New Roman"/>
          <w:b w:val="0"/>
          <w:i w:val="0"/>
          <w:color w:val="000000"/>
          <w:sz w:val="21"/>
        </w:rPr>
        <w:t>4.4. Thực hiện thanh toán đúng hạn cho Bên A theo thỏa thuận tại PO và quy định tại Điều 6 của Hợp đồng này.</w:t>
      </w:r>
    </w:p>
    <w:p>
      <w:pPr>
        <w:jc w:val="left"/>
        <w:spacing w:before="200" w:after="80" w:line="276" w:lineRule="auto"/>
      </w:pPr>
      <w:r>
        <w:rPr>
          <w:rFonts w:ascii="Times New Roman" w:hAnsi="Times New Roman"/>
          <w:b/>
          <w:i w:val="0"/>
          <w:color w:val="000000"/>
          <w:sz w:val="22"/>
        </w:rPr>
        <w:t>ĐIỀU 5: QUYỀN VÀ NGHĨA VỤ CỦA BÊN A (BÊN CUNG ỨNG DỊCH VỤ)</w:t>
      </w:r>
    </w:p>
    <w:p>
      <w:pPr>
        <w:jc w:val="left"/>
        <w:spacing w:before="0" w:after="60" w:line="276" w:lineRule="auto"/>
      </w:pPr>
      <w:r>
        <w:rPr>
          <w:rFonts w:ascii="Times New Roman" w:hAnsi="Times New Roman"/>
          <w:b w:val="0"/>
          <w:i w:val="0"/>
          <w:color w:val="000000"/>
          <w:sz w:val="21"/>
        </w:rPr>
        <w:t>5.1. Bố trí đội ngũ nhân sự chuyên nghiệp, giàu kinh nghiệm để thực hiện dịch vụ cẩn trọng, đúng quy trình nghiệp vụ giao nhận vận tải quốc tế và thủ tục hải quan.</w:t>
      </w:r>
    </w:p>
    <w:p>
      <w:pPr>
        <w:jc w:val="left"/>
        <w:spacing w:before="0" w:after="60" w:line="276" w:lineRule="auto"/>
      </w:pPr>
      <w:r>
        <w:rPr>
          <w:rFonts w:ascii="Times New Roman" w:hAnsi="Times New Roman"/>
          <w:b w:val="0"/>
          <w:i w:val="0"/>
          <w:color w:val="000000"/>
          <w:sz w:val="21"/>
        </w:rPr>
        <w:t>5.2. Tư vấn giải pháp vận tải tối ưu chi phí, lựa chọn lịch trình tàu biển/chuyến bay/tuyến đường bộ an toàn, hiệu quả cho Bên B.</w:t>
      </w:r>
    </w:p>
    <w:p>
      <w:pPr>
        <w:jc w:val="left"/>
        <w:spacing w:before="0" w:after="60" w:line="276" w:lineRule="auto"/>
      </w:pPr>
      <w:r>
        <w:rPr>
          <w:rFonts w:ascii="Times New Roman" w:hAnsi="Times New Roman"/>
          <w:b w:val="0"/>
          <w:i w:val="0"/>
          <w:color w:val="000000"/>
          <w:sz w:val="21"/>
        </w:rPr>
        <w:t>5.3. Đại diện Bên B làm việc trực tiếp với Hãng tàu, Cảng biển, Sân bay, Chi cục Hải quan, Trạm Biên phòng và các cơ quan hữu quan với tinh thần trách nhiệm cao nhất.</w:t>
      </w:r>
    </w:p>
    <w:p>
      <w:pPr>
        <w:jc w:val="left"/>
        <w:spacing w:before="0" w:after="60" w:line="276" w:lineRule="auto"/>
      </w:pPr>
      <w:r>
        <w:rPr>
          <w:rFonts w:ascii="Times New Roman" w:hAnsi="Times New Roman"/>
          <w:b w:val="0"/>
          <w:i w:val="0"/>
          <w:color w:val="000000"/>
          <w:sz w:val="21"/>
        </w:rPr>
        <w:t>5.4. Trực tiếp kiểm tra, giám sát tình trạng bao bì, niêm phong kẹp chì của hàng hóa trong quá trình bốc dỡ, sang hàng hoặc vận chuyển; kịp thời thông báo và phối hợp lập biên bản hiện trường nếu phát hiện suy hao, rách vỡ.</w:t>
      </w:r>
    </w:p>
    <w:p>
      <w:pPr>
        <w:jc w:val="left"/>
        <w:spacing w:before="0" w:after="60" w:line="276" w:lineRule="auto"/>
      </w:pPr>
      <w:r>
        <w:rPr>
          <w:rFonts w:ascii="Times New Roman" w:hAnsi="Times New Roman"/>
          <w:b w:val="0"/>
          <w:i w:val="0"/>
          <w:color w:val="000000"/>
          <w:sz w:val="21"/>
        </w:rPr>
        <w:t>5.5. Chịu trách nhiệm về các lỗi nghiệp vụ chủ quan do nhân sự Bên A gây ra (như truyền nhầm dữ liệu tờ khai khi chưa duyệt, kê khai sai lệch thông tin C/O dẫn tới bị cơ quan có thẩm quyền bác bỏ hoặc chậm trễ vô lý).</w:t>
      </w:r>
    </w:p>
    <w:p>
      <w:pPr>
        <w:jc w:val="left"/>
        <w:spacing w:before="0" w:after="60" w:line="276" w:lineRule="auto"/>
      </w:pPr>
      <w:r>
        <w:rPr>
          <w:rFonts w:ascii="Times New Roman" w:hAnsi="Times New Roman"/>
          <w:b w:val="0"/>
          <w:i w:val="0"/>
          <w:color w:val="000000"/>
          <w:sz w:val="21"/>
        </w:rPr>
        <w:t>5.6. Xuất Hóa đơn GTGT điện tử hợp pháp (đầy đủ định dạng XML và PDF) gửi về email chuyên trách kế toán của Bên B: safetylife.1st@gmail.com.</w:t>
      </w:r>
    </w:p>
    <w:p>
      <w:pPr>
        <w:jc w:val="left"/>
        <w:spacing w:before="200" w:after="80" w:line="276" w:lineRule="auto"/>
      </w:pPr>
      <w:r>
        <w:rPr>
          <w:rFonts w:ascii="Times New Roman" w:hAnsi="Times New Roman"/>
          <w:b/>
          <w:i w:val="0"/>
          <w:color w:val="000000"/>
          <w:sz w:val="22"/>
        </w:rPr>
        <w:t>ĐIỀU 6: PHƯƠNG THỨC VÀ ĐIỀU KIỆN THANH TOÁN (RULE R20)</w:t>
      </w:r>
    </w:p>
    <w:p>
      <w:pPr>
        <w:jc w:val="left"/>
        <w:spacing w:before="0" w:after="60" w:line="276" w:lineRule="auto"/>
      </w:pPr>
      <w:r>
        <w:rPr>
          <w:rFonts w:ascii="Times New Roman" w:hAnsi="Times New Roman"/>
          <w:b w:val="0"/>
          <w:i w:val="0"/>
          <w:color w:val="000000"/>
          <w:sz w:val="21"/>
        </w:rPr>
        <w:t>6.1. Đồng tiền thanh toán: Việt Nam Đồng (VNĐ).</w:t>
      </w:r>
    </w:p>
    <w:p>
      <w:pPr>
        <w:jc w:val="left"/>
        <w:spacing w:before="0" w:after="60" w:line="276" w:lineRule="auto"/>
      </w:pPr>
      <w:r>
        <w:rPr>
          <w:rFonts w:ascii="Times New Roman" w:hAnsi="Times New Roman"/>
          <w:b w:val="0"/>
          <w:i w:val="0"/>
          <w:color w:val="000000"/>
          <w:sz w:val="21"/>
        </w:rPr>
        <w:t>6.2. Hình thức thanh toán: 100% bằng chuyển khoản ngân hàng qua Ủy nhiệm chi (UNC) từ tài khoản pháp nhân MB Bank của Bên B (2991116668888) sang đúng tài khoản pháp nhân Vietcombank của Bên A (0451000362923). Tuyệt đối không giao dịch bằng tiền mặt hoặc qua tài khoản cá nhân đối với các giao dịch từ 5.000.000 VNĐ trở lên, nhằm đảm bảo tuân thủ 100% Luật Thuế và điều kiện hoàn thuế GTGT 0% (Rule R20).</w:t>
      </w:r>
    </w:p>
    <w:p>
      <w:pPr>
        <w:jc w:val="left"/>
        <w:spacing w:before="0" w:after="60" w:line="276" w:lineRule="auto"/>
      </w:pPr>
      <w:r>
        <w:rPr>
          <w:rFonts w:ascii="Times New Roman" w:hAnsi="Times New Roman"/>
          <w:b w:val="0"/>
          <w:i w:val="0"/>
          <w:color w:val="000000"/>
          <w:sz w:val="21"/>
        </w:rPr>
        <w:t>6.3. Thời hạn thanh toán: Trong vòng 03 đến 05 ngày làm việc kể từ khi Bên A hoàn thành dịch vụ của lô hàng, bàn giao đầy đủ tờ khai thông quan, C/O hợp lệ (nếu có) và phát hành Hóa đơn GTGT điện tử hợp lệ kèm Bảng kê chi phí khớp đúng với PO.</w:t>
      </w:r>
    </w:p>
    <w:p>
      <w:pPr>
        <w:jc w:val="left"/>
        <w:spacing w:before="200" w:after="80" w:line="276" w:lineRule="auto"/>
      </w:pPr>
      <w:r>
        <w:rPr>
          <w:rFonts w:ascii="Times New Roman" w:hAnsi="Times New Roman"/>
          <w:b/>
          <w:i w:val="0"/>
          <w:color w:val="000000"/>
          <w:sz w:val="22"/>
        </w:rPr>
        <w:t>ĐIỀU 7: GIỚI HẠN TRÁCH NHIỆM VÀ XỬ LÝ VI PHẠM</w:t>
      </w:r>
    </w:p>
    <w:p>
      <w:pPr>
        <w:jc w:val="left"/>
        <w:spacing w:before="0" w:after="60" w:line="276" w:lineRule="auto"/>
      </w:pPr>
      <w:r>
        <w:rPr>
          <w:rFonts w:ascii="Times New Roman" w:hAnsi="Times New Roman"/>
          <w:b w:val="0"/>
          <w:i w:val="0"/>
          <w:color w:val="000000"/>
          <w:sz w:val="21"/>
        </w:rPr>
        <w:t>7.1. Trách nhiệm bồi thường đối với hàng hóa: Bên A chịu trách nhiệm bồi thường các thiệt hại vật chất trực tiếp đối với hàng hóa xảy ra do lỗi sơ suất hoặc vi phạm quy trình của Bên A trong thời gian hàng hóa thuộc phạm vi quản lý vận chuyển của Bên A, căn cứ theo quy chuẩn của Bộ luật Hàng hải Việt Nam, Luật Hàng không dân dụng và Luật Thương mại.</w:t>
      </w:r>
    </w:p>
    <w:p>
      <w:pPr>
        <w:jc w:val="left"/>
        <w:spacing w:before="0" w:after="60" w:line="276" w:lineRule="auto"/>
      </w:pPr>
      <w:r>
        <w:rPr>
          <w:rFonts w:ascii="Times New Roman" w:hAnsi="Times New Roman"/>
          <w:b w:val="0"/>
          <w:i w:val="0"/>
          <w:color w:val="000000"/>
          <w:sz w:val="21"/>
        </w:rPr>
        <w:t>7.2. Miễn trừ trách nhiệm: Bên A được miễn trừ trách nhiệm bồi thường trong các trường hợp: hao hụt tự nhiên do đặc tính hàng hóa; bao bì đóng gói không đúng quy cách từ phía nhà sản xuất; chậm trễ do hãng tàu hủy chuyến, hãng hàng không delay chuyến; hoặc các quyết định kiểm tra đột xuất, đình chỉ luồng hàng của cơ quan quản lý nhà nước mà không xuất phát từ lỗi của Bên A.</w:t>
      </w:r>
    </w:p>
    <w:p>
      <w:pPr>
        <w:jc w:val="left"/>
        <w:spacing w:before="0" w:after="60" w:line="276" w:lineRule="auto"/>
      </w:pPr>
      <w:r>
        <w:rPr>
          <w:rFonts w:ascii="Times New Roman" w:hAnsi="Times New Roman"/>
          <w:b w:val="0"/>
          <w:i w:val="0"/>
          <w:color w:val="000000"/>
          <w:sz w:val="21"/>
        </w:rPr>
        <w:t>7.3. Phạt chậm thực hiện: Trường hợp một bên chậm trễ thực hiện nghĩa vụ theo thỏa thuận mà không có lý do chính đáng hoặc không thuộc trường hợp bất khả kháng, bên vi phạm sẽ chịu mức phạt 1% giá trị phần dịch vụ chậm trễ cho mỗi ngày vi phạm, nhưng tổng mức phạt không vượt quá 8% giá trị dịch vụ vi phạm theo quy định của Luật Thương mại.</w:t>
      </w:r>
    </w:p>
    <w:p>
      <w:pPr>
        <w:jc w:val="left"/>
        <w:spacing w:before="200" w:after="80" w:line="276" w:lineRule="auto"/>
      </w:pPr>
      <w:r>
        <w:rPr>
          <w:rFonts w:ascii="Times New Roman" w:hAnsi="Times New Roman"/>
          <w:b/>
          <w:i w:val="0"/>
          <w:color w:val="000000"/>
          <w:sz w:val="22"/>
        </w:rPr>
        <w:t>ĐIỀU 8: BẢO MẬT THÔNG TIN VÀ NGUYÊN TẮC ĐỒNG HÀNH BỀN VỮNG</w:t>
      </w:r>
    </w:p>
    <w:p>
      <w:pPr>
        <w:jc w:val="left"/>
        <w:spacing w:before="0" w:after="60" w:line="276" w:lineRule="auto"/>
      </w:pPr>
      <w:r>
        <w:rPr>
          <w:rFonts w:ascii="Times New Roman" w:hAnsi="Times New Roman"/>
          <w:b w:val="0"/>
          <w:i w:val="0"/>
          <w:color w:val="000000"/>
          <w:sz w:val="21"/>
        </w:rPr>
        <w:t>8.1. Bảo mật kinh doanh: Hai Bên cam kết bảo mật tuyệt đối toàn bộ thông tin thương mại, giá mua bán, danh tính khách hàng quốc tế, nhà máy sản xuất, hồ sơ kỹ thuật và chiến lược kinh doanh của nhau trong suốt thời hạn hợp đồng và 02 năm kể từ ngày chấm dứt.</w:t>
      </w:r>
    </w:p>
    <w:p>
      <w:pPr>
        <w:jc w:val="left"/>
        <w:spacing w:before="0" w:after="60" w:line="276" w:lineRule="auto"/>
      </w:pPr>
      <w:r>
        <w:rPr>
          <w:rFonts w:ascii="Times New Roman" w:hAnsi="Times New Roman"/>
          <w:b w:val="0"/>
          <w:i w:val="0"/>
          <w:color w:val="000000"/>
          <w:sz w:val="21"/>
        </w:rPr>
        <w:t>8.2. Cam kết không luồn cúi tiếp cận khách hàng (Non-Circumvention): Bên A cam kết không sử dụng bất kỳ thông tin nào thu thập được từ hồ sơ của Bên B để trực tiếp hoặc gián tiếp tiếp cận, chào mời dịch vụ hoặc thiết lập quan hệ mua bán với khách hàng nước ngoài của Bên B.</w:t>
      </w:r>
    </w:p>
    <w:p>
      <w:pPr>
        <w:jc w:val="left"/>
        <w:spacing w:before="0" w:after="60" w:line="276" w:lineRule="auto"/>
      </w:pPr>
      <w:r>
        <w:rPr>
          <w:rFonts w:ascii="Times New Roman" w:hAnsi="Times New Roman"/>
          <w:b w:val="0"/>
          <w:i w:val="0"/>
          <w:color w:val="000000"/>
          <w:sz w:val="21"/>
        </w:rPr>
        <w:t>8.3. Tinh thần đối tác đồng hành: Hai Bên coi trọng mối quan hệ hợp tác lâu dài, tin cậy; luôn chủ động hỗ trợ, chia sẻ thông tin thị trường, giá cước và chính sách hải quan mới để cùng nhau tối ưu hóa chi phí và phát triển bền vững.</w:t>
      </w:r>
    </w:p>
    <w:p>
      <w:pPr>
        <w:jc w:val="left"/>
        <w:spacing w:before="200" w:after="80" w:line="276" w:lineRule="auto"/>
      </w:pPr>
      <w:r>
        <w:rPr>
          <w:rFonts w:ascii="Times New Roman" w:hAnsi="Times New Roman"/>
          <w:b/>
          <w:i w:val="0"/>
          <w:color w:val="000000"/>
          <w:sz w:val="22"/>
        </w:rPr>
        <w:t>ĐIỀU 9: SỰ KIỆN BẤT KHẢ KHÁNG (FORCE MAJEURE)</w:t>
      </w:r>
    </w:p>
    <w:p>
      <w:pPr>
        <w:jc w:val="left"/>
        <w:spacing w:before="0" w:after="60" w:line="276" w:lineRule="auto"/>
      </w:pPr>
      <w:r>
        <w:rPr>
          <w:rFonts w:ascii="Times New Roman" w:hAnsi="Times New Roman"/>
          <w:b w:val="0"/>
          <w:i w:val="0"/>
          <w:color w:val="000000"/>
          <w:sz w:val="21"/>
        </w:rPr>
        <w:t>9.1. Sự kiện bất khả kháng bao gồm: thiên tai, bão lũ, động đất, hỏa hoạn, dịch bệnh, chiến tranh, đình công quy mô lớn, hoặc các thay đổi đột ngột về luật pháp, chính sách cấm vận, đóng cửa biên giới/cảng biển của chính phủ các quốc gia liên quan nằm ngoài tầm kiểm soát hợp lý của các Bên.</w:t>
      </w:r>
    </w:p>
    <w:p>
      <w:pPr>
        <w:jc w:val="left"/>
        <w:spacing w:before="0" w:after="60" w:line="276" w:lineRule="auto"/>
      </w:pPr>
      <w:r>
        <w:rPr>
          <w:rFonts w:ascii="Times New Roman" w:hAnsi="Times New Roman"/>
          <w:b w:val="0"/>
          <w:i w:val="0"/>
          <w:color w:val="000000"/>
          <w:sz w:val="21"/>
        </w:rPr>
        <w:t>9.2. Bên gặp bất khả kháng phải thông báo bằng văn bản/email cho bên kia trong vòng 24 giờ kể từ khi sự kiện xảy ra, kèm theo các biện pháp khắc phục tạm thời. Trong thời gian này, các nghĩa vụ bị cản trở được tạm hoãn mà không bị tính phạt vi phạm.</w:t>
      </w:r>
    </w:p>
    <w:p>
      <w:pPr>
        <w:jc w:val="left"/>
        <w:spacing w:before="200" w:after="80" w:line="276" w:lineRule="auto"/>
      </w:pPr>
      <w:r>
        <w:rPr>
          <w:rFonts w:ascii="Times New Roman" w:hAnsi="Times New Roman"/>
          <w:b/>
          <w:i w:val="0"/>
          <w:color w:val="000000"/>
          <w:sz w:val="22"/>
        </w:rPr>
        <w:t>ĐIỀU 10: LUẬT ÁP DỤNG VÀ GIẢI QUYẾT TRANH CHẤP</w:t>
      </w:r>
    </w:p>
    <w:p>
      <w:pPr>
        <w:jc w:val="left"/>
        <w:spacing w:before="0" w:after="60" w:line="276" w:lineRule="auto"/>
      </w:pPr>
      <w:r>
        <w:rPr>
          <w:rFonts w:ascii="Times New Roman" w:hAnsi="Times New Roman"/>
          <w:b w:val="0"/>
          <w:i w:val="0"/>
          <w:color w:val="000000"/>
          <w:sz w:val="21"/>
        </w:rPr>
        <w:t>10.1. Hợp đồng này được điều chỉnh và giải thích theo pháp luật nước Cộng hòa Xã hội Chủ nghĩa Việt Nam.</w:t>
      </w:r>
    </w:p>
    <w:p>
      <w:pPr>
        <w:jc w:val="left"/>
        <w:spacing w:before="0" w:after="60" w:line="276" w:lineRule="auto"/>
      </w:pPr>
      <w:r>
        <w:rPr>
          <w:rFonts w:ascii="Times New Roman" w:hAnsi="Times New Roman"/>
          <w:b w:val="0"/>
          <w:i w:val="0"/>
          <w:color w:val="000000"/>
          <w:sz w:val="21"/>
        </w:rPr>
        <w:t>10.2. Mọi tranh chấp phát sinh từ hoặc liên quan đến Hợp đồng này trước hết sẽ được giải quyết thông qua thương lượng, hòa giải trên tinh thần thiện chí và tôn trọng lợi ích song phương.</w:t>
      </w:r>
    </w:p>
    <w:p>
      <w:pPr>
        <w:jc w:val="left"/>
        <w:spacing w:before="0" w:after="60" w:line="276" w:lineRule="auto"/>
      </w:pPr>
      <w:r>
        <w:rPr>
          <w:rFonts w:ascii="Times New Roman" w:hAnsi="Times New Roman"/>
          <w:b w:val="0"/>
          <w:i w:val="0"/>
          <w:color w:val="000000"/>
          <w:sz w:val="21"/>
        </w:rPr>
        <w:t>10.3. Trường hợp thương lượng không thành trong vòng 30 ngày kể từ ngày phát sinh tranh chấp, vụ việc sẽ được đưa ra giải quyết tại Trung tâm Trọng tài Quốc tế Việt Nam (VIAC) tại Hà Nội theo Quy tắc tố tụng trọng tài của Trung tâm này. Phán quyết của Trọng tài là chung thẩm và có hiệu lực ràng buộc bắt buộc đối với cả hai Bên.</w:t>
      </w:r>
    </w:p>
    <w:p>
      <w:pPr>
        <w:jc w:val="left"/>
        <w:spacing w:before="200" w:after="80" w:line="276" w:lineRule="auto"/>
      </w:pPr>
      <w:r>
        <w:rPr>
          <w:rFonts w:ascii="Times New Roman" w:hAnsi="Times New Roman"/>
          <w:b/>
          <w:i w:val="0"/>
          <w:color w:val="000000"/>
          <w:sz w:val="22"/>
        </w:rPr>
        <w:t>ĐIỀU 11: HIỆU LỰC HỢP ĐỒNG VÀ ĐIỀU KHOẢN THI HÀNH</w:t>
      </w:r>
    </w:p>
    <w:p>
      <w:pPr>
        <w:jc w:val="left"/>
        <w:spacing w:before="0" w:after="60" w:line="276" w:lineRule="auto"/>
      </w:pPr>
      <w:r>
        <w:rPr>
          <w:rFonts w:ascii="Times New Roman" w:hAnsi="Times New Roman"/>
          <w:b w:val="0"/>
          <w:i w:val="0"/>
          <w:color w:val="000000"/>
          <w:sz w:val="21"/>
        </w:rPr>
        <w:t>11.1. Hợp đồng có hiệu lực thi hành kể từ ngày ký và có thời hạn 01 (một) năm. Hợp đồng sẽ tự động gia hạn thêm từng năm một nếu trước khi hết hạn 30 ngày không bên nào có văn bản thông báo chấm dứt.</w:t>
      </w:r>
    </w:p>
    <w:p>
      <w:pPr>
        <w:jc w:val="left"/>
        <w:spacing w:before="0" w:after="60" w:line="276" w:lineRule="auto"/>
      </w:pPr>
      <w:r>
        <w:rPr>
          <w:rFonts w:ascii="Times New Roman" w:hAnsi="Times New Roman"/>
          <w:b w:val="0"/>
          <w:i w:val="0"/>
          <w:color w:val="000000"/>
          <w:sz w:val="21"/>
        </w:rPr>
        <w:t>11.2. Mọi sửa đổi, bổ sung Hợp đồng phải được lập thành Phụ lục văn bản có đầy đủ chữ ký và con dấu của đại diện có thẩm quyền hai Bên.</w:t>
      </w:r>
    </w:p>
    <w:p>
      <w:pPr>
        <w:jc w:val="left"/>
        <w:spacing w:before="0" w:after="60" w:line="276" w:lineRule="auto"/>
      </w:pPr>
      <w:r>
        <w:rPr>
          <w:rFonts w:ascii="Times New Roman" w:hAnsi="Times New Roman"/>
          <w:b w:val="0"/>
          <w:i w:val="0"/>
          <w:color w:val="000000"/>
          <w:sz w:val="21"/>
        </w:rPr>
        <w:t>11.3. Hợp đồng này được lập thành 02 (hai) bản gốc bằng tiếng Việt, mỗi Bên giữ 01 (một) bản có giá trị pháp lý như nhau.</w:t>
      </w:r>
    </w:p>
    <w:p>
      <w:pPr>
        <w:jc w:val="left"/>
        <w:spacing w:before="320" w:after="80" w:line="276" w:lineRule="auto"/>
      </w:pPr>
    </w:p>
    <w:tbl>
      <w:tblPr>
        <w:tblW w:type="auto" w:w="0"/>
        <w:jc w:val="center"/>
        <w:tblLayout w:type="fixed"/>
        <w:tblLook w:firstColumn="1" w:firstRow="1" w:lastColumn="0" w:lastRow="0" w:noHBand="0" w:noVBand="1" w:val="04A0"/>
      </w:tblPr>
      <w:tblGrid>
        <w:gridCol w:w="4896"/>
        <w:gridCol w:w="4896"/>
      </w:tblGrid>
      <w:tr>
        <w:tc>
          <w:tcPr>
            <w:tcW w:type="dxa" w:w="4752"/>
            <w:tcBorders>
              <w:top w:val="none"/>
              <w:bottom w:val="none"/>
              <w:left w:val="none"/>
              <w:right w:val="none"/>
            </w:tcBorders>
          </w:tcPr>
          <w:p>
            <w:pPr>
              <w:jc w:val="center"/>
            </w:pPr>
            <w:r>
              <w:rPr>
                <w:rFonts w:ascii="Times New Roman" w:hAnsi="Times New Roman"/>
                <w:b/>
                <w:i w:val="0"/>
                <w:color w:val="000000"/>
                <w:sz w:val="22"/>
              </w:rPr>
              <w:t>ĐẠI DIỆN BÊN A</w:t>
              <w:br/>
            </w:r>
            <w:r>
              <w:rPr>
                <w:rFonts w:ascii="Times New Roman" w:hAnsi="Times New Roman"/>
                <w:b/>
                <w:i w:val="0"/>
                <w:color w:val="000000"/>
                <w:sz w:val="20"/>
              </w:rPr>
              <w:t>CÔNG TY TNHH THƯƠNG MẠI VÀ DỊCH VỤ LOGISTICS BÌNH AN</w:t>
              <w:br/>
            </w:r>
            <w:r>
              <w:rPr>
                <w:rFonts w:ascii="Times New Roman" w:hAnsi="Times New Roman"/>
                <w:b w:val="0"/>
                <w:i/>
                <w:color w:val="000000"/>
                <w:sz w:val="20"/>
              </w:rPr>
              <w:t>Giám đốc</w:t>
              <w:br/>
              <w:br/>
              <w:br/>
              <w:br/>
              <w:br/>
            </w:r>
            <w:r>
              <w:rPr>
                <w:rFonts w:ascii="Times New Roman" w:hAnsi="Times New Roman"/>
                <w:b/>
                <w:i w:val="0"/>
                <w:color w:val="000000"/>
                <w:sz w:val="22"/>
              </w:rPr>
              <w:t>LÊ VĂN HUÂN</w:t>
            </w:r>
          </w:p>
        </w:tc>
        <w:tc>
          <w:tcPr>
            <w:tcW w:type="dxa" w:w="4752"/>
            <w:tcBorders>
              <w:top w:val="none"/>
              <w:bottom w:val="none"/>
              <w:left w:val="none"/>
              <w:right w:val="none"/>
            </w:tcBorders>
          </w:tcPr>
          <w:p>
            <w:pPr>
              <w:jc w:val="center"/>
            </w:pPr>
            <w:r>
              <w:rPr>
                <w:rFonts w:ascii="Times New Roman" w:hAnsi="Times New Roman"/>
                <w:b/>
                <w:i w:val="0"/>
                <w:color w:val="000000"/>
                <w:sz w:val="22"/>
              </w:rPr>
              <w:t>ĐẠI DIỆN BÊN B</w:t>
              <w:br/>
            </w:r>
            <w:r>
              <w:rPr>
                <w:rFonts w:ascii="Times New Roman" w:hAnsi="Times New Roman"/>
                <w:b/>
                <w:i w:val="0"/>
                <w:color w:val="000000"/>
                <w:sz w:val="20"/>
              </w:rPr>
              <w:t>CÔNG TY TNHH GLOBAL SOLUTION SERVICE</w:t>
              <w:br/>
            </w:r>
            <w:r>
              <w:rPr>
                <w:rFonts w:ascii="Times New Roman" w:hAnsi="Times New Roman"/>
                <w:b w:val="0"/>
                <w:i/>
                <w:color w:val="000000"/>
                <w:sz w:val="20"/>
              </w:rPr>
              <w:t>Giám đốc</w:t>
              <w:br/>
              <w:br/>
              <w:br/>
              <w:br/>
              <w:br/>
            </w:r>
            <w:r>
              <w:rPr>
                <w:rFonts w:ascii="Times New Roman" w:hAnsi="Times New Roman"/>
                <w:b/>
                <w:i w:val="0"/>
                <w:color w:val="000000"/>
                <w:sz w:val="22"/>
              </w:rPr>
              <w:t>NGUYỄN VĂN TRUNG</w:t>
            </w:r>
          </w:p>
        </w:tc>
      </w:tr>
      <w:tr>
        <w:tc>
          <w:tcPr>
            <w:tcW w:type="dxa" w:w="4896"/>
          </w:tcPr>
          <w:p/>
        </w:tc>
        <w:tc>
          <w:tcPr>
            <w:tcW w:type="dxa" w:w="4896"/>
          </w:tcPr>
          <w:p/>
        </w:tc>
      </w:tr>
    </w:tbl>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