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2"/>
        </w:rPr>
        <w:t>CỘNG HÒA XÃ HỘI CHỦ NGHĨA VIỆT NAM</w:t>
        <w:br/>
        <w:t>Độc lập - Tự do - Hạnh phúc</w:t>
        <w:br/>
        <w:t>----- *** -----</w:t>
      </w:r>
    </w:p>
    <w:p>
      <w:pPr>
        <w:jc w:val="center"/>
      </w:pPr>
      <w:r>
        <w:rPr>
          <w:rFonts w:ascii="Times New Roman" w:hAnsi="Times New Roman"/>
          <w:b/>
          <w:i w:val="0"/>
          <w:color w:val="102C57"/>
          <w:sz w:val="26"/>
        </w:rPr>
        <w:t>BẢN CAM KẾT XUẤT XỨ CỦA NHÀ SẢN XUẤT</w:t>
        <w:br/>
        <w:t>(MANUFACTURER'S DECLARATION OF ORIGIN — ATIGA FORM D)</w:t>
      </w:r>
    </w:p>
    <w:p>
      <w:pPr>
        <w:jc w:val="center"/>
      </w:pPr>
      <w:r>
        <w:rPr>
          <w:rFonts w:ascii="Times New Roman" w:hAnsi="Times New Roman"/>
          <w:b w:val="0"/>
          <w:i/>
          <w:sz w:val="21"/>
        </w:rPr>
        <w:t>Kính gửi: Phòng Quản lý Xuất Nhập khẩu khu vực Hà Nội (Bộ Công Thương Việt Nam)</w:t>
        <w:br/>
        <w:t>và Chi cục Hải quan Cửa khẩu Quốc tế Lao Bảo</w:t>
      </w:r>
    </w:p>
    <w:p>
      <w:r>
        <w:rPr>
          <w:rFonts w:ascii="Times New Roman" w:hAnsi="Times New Roman"/>
          <w:b w:val="0"/>
          <w:i w:val="0"/>
          <w:sz w:val="19"/>
        </w:rPr>
        <w:t>- Căn cứ Nghị định số 31/2018/NĐ-CP ngày 08/03/2018 của Chính phủ quy định chi tiết Luật Quản lý ngoại thương về xuất xứ hàng hóa;</w:t>
        <w:br/>
        <w:t>- Căn cứ Thông tư số 22/2016/TT-BCT ngày 03/10/2016 và Thông tư số 19/2020/TT-BCT của Bộ Công Thương hướng dẫn thực hiện Quy tắc xuất xứ trong Hiệp định Thương mại Hàng hóa ASEAN (ATIGA);</w:t>
        <w:br/>
        <w:t>- Căn cứ Hợp đồng nguyên tắc mua bán hàng hóa số 269901/HĐNT/TL-GSS và Đơn đặt hàng số 01 ký kết giữa Công ty TNHH Đầu tư Thương mại Công nghiệp Thiên Long và Công ty TNHH Global Solution Service (G-SS CO.,LTD);</w:t>
        <w:br/>
        <w:t>- Căn cứ Hợp đồng mua bán ngoại thương xuất khẩu số GSSDIX_FCA_269901 giữa Bên xuất khẩu G-SS CO.,LTD và Bên nhập khẩu DUANGMANEE IMPORT-EXPORT CO., LTD (Thái Lan).</w:t>
      </w:r>
    </w:p>
    <w:p/>
    <w:p>
      <w:r>
        <w:rPr>
          <w:rFonts w:ascii="Times New Roman" w:hAnsi="Times New Roman"/>
          <w:b/>
          <w:i w:val="0"/>
          <w:sz w:val="20"/>
        </w:rPr>
        <w:t>Tên nhà sản xuất: CÔNG TY TNHH ĐẦU TƯ THƯƠNG MẠI CÔNG NGHIỆP THIÊN LONG</w:t>
        <w:br/>
        <w:t>Mã số thuế: 5400512548</w:t>
        <w:br/>
        <w:t>Địa chỉ trụ sở chính: Tổ dân phố Trường Sơn, Xã Lương Sơn, Tỉnh Phú Thọ, Việt Nam</w:t>
        <w:br/>
        <w:t>Địa chỉ nhà máy sản xuất: Cụm Công nghiệp Lương Sơn, Tỉnh Phú Thọ, Việt Nam</w:t>
        <w:br/>
        <w:t>Người đại diện pháp luật: Bà ĐẶNG THỊ THU HƯƠNG — Chức vụ: Giám Đốc</w:t>
        <w:br/>
        <w:t>Số điện thoại: 0966207488</w:t>
      </w:r>
    </w:p>
    <w:p>
      <w:r>
        <w:rPr>
          <w:rFonts w:ascii="Times New Roman" w:hAnsi="Times New Roman"/>
          <w:b w:val="0"/>
          <w:i w:val="0"/>
          <w:sz w:val="20"/>
        </w:rPr>
        <w:t>Chúng tôi xin cam đoan và xác nhận về xuất xứ của lô hàng hóa sản xuất phục vụ xuất khẩu như sau:</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720"/>
            <w:shd w:fill="102C57"/>
            <w:tcMar>
              <w:top w:w="100" w:type="dxa"/>
              <w:bottom w:w="100" w:type="dxa"/>
              <w:left w:w="80" w:type="dxa"/>
              <w:right w:w="80" w:type="dxa"/>
            </w:tcMar>
          </w:tcPr>
          <w:p>
            <w:pPr>
              <w:jc w:val="center"/>
            </w:pPr>
            <w:r>
              <w:rPr>
                <w:rFonts w:ascii="Times New Roman" w:hAnsi="Times New Roman"/>
                <w:b/>
                <w:i w:val="0"/>
                <w:color w:val="FFFFFF"/>
                <w:sz w:val="17"/>
              </w:rPr>
              <w:t>STT</w:t>
            </w:r>
          </w:p>
        </w:tc>
        <w:tc>
          <w:tcPr>
            <w:tcW w:type="dxa" w:w="3168"/>
            <w:shd w:fill="102C57"/>
            <w:tcMar>
              <w:top w:w="100" w:type="dxa"/>
              <w:bottom w:w="100" w:type="dxa"/>
              <w:left w:w="80" w:type="dxa"/>
              <w:right w:w="80" w:type="dxa"/>
            </w:tcMar>
          </w:tcPr>
          <w:p>
            <w:pPr>
              <w:jc w:val="center"/>
            </w:pPr>
            <w:r>
              <w:rPr>
                <w:rFonts w:ascii="Times New Roman" w:hAnsi="Times New Roman"/>
                <w:b/>
                <w:i w:val="0"/>
                <w:color w:val="FFFFFF"/>
                <w:sz w:val="17"/>
              </w:rPr>
              <w:t>Tên sản phẩm thương mại</w:t>
            </w:r>
          </w:p>
        </w:tc>
        <w:tc>
          <w:tcPr>
            <w:tcW w:type="dxa" w:w="1296"/>
            <w:shd w:fill="102C57"/>
            <w:tcMar>
              <w:top w:w="100" w:type="dxa"/>
              <w:bottom w:w="100" w:type="dxa"/>
              <w:left w:w="80" w:type="dxa"/>
              <w:right w:w="80" w:type="dxa"/>
            </w:tcMar>
          </w:tcPr>
          <w:p>
            <w:pPr>
              <w:jc w:val="center"/>
            </w:pPr>
            <w:r>
              <w:rPr>
                <w:rFonts w:ascii="Times New Roman" w:hAnsi="Times New Roman"/>
                <w:b/>
                <w:i w:val="0"/>
                <w:color w:val="FFFFFF"/>
                <w:sz w:val="17"/>
              </w:rPr>
              <w:t>Mã HS</w:t>
            </w:r>
          </w:p>
        </w:tc>
        <w:tc>
          <w:tcPr>
            <w:tcW w:type="dxa" w:w="1440"/>
            <w:shd w:fill="102C57"/>
            <w:tcMar>
              <w:top w:w="100" w:type="dxa"/>
              <w:bottom w:w="100" w:type="dxa"/>
              <w:left w:w="80" w:type="dxa"/>
              <w:right w:w="80" w:type="dxa"/>
            </w:tcMar>
          </w:tcPr>
          <w:p>
            <w:pPr>
              <w:jc w:val="center"/>
            </w:pPr>
            <w:r>
              <w:rPr>
                <w:rFonts w:ascii="Times New Roman" w:hAnsi="Times New Roman"/>
                <w:b/>
                <w:i w:val="0"/>
                <w:color w:val="FFFFFF"/>
                <w:sz w:val="17"/>
              </w:rPr>
              <w:t>Số lượng</w:t>
            </w:r>
          </w:p>
        </w:tc>
        <w:tc>
          <w:tcPr>
            <w:tcW w:type="dxa" w:w="2016"/>
            <w:shd w:fill="102C57"/>
            <w:tcMar>
              <w:top w:w="100" w:type="dxa"/>
              <w:bottom w:w="100" w:type="dxa"/>
              <w:left w:w="80" w:type="dxa"/>
              <w:right w:w="80" w:type="dxa"/>
            </w:tcMar>
          </w:tcPr>
          <w:p>
            <w:pPr>
              <w:jc w:val="center"/>
            </w:pPr>
            <w:r>
              <w:rPr>
                <w:rFonts w:ascii="Times New Roman" w:hAnsi="Times New Roman"/>
                <w:b/>
                <w:i w:val="0"/>
                <w:color w:val="FFFFFF"/>
                <w:sz w:val="17"/>
              </w:rPr>
              <w:t>Trọng lượng (Gross/Net)</w:t>
            </w:r>
          </w:p>
        </w:tc>
        <w:tc>
          <w:tcPr>
            <w:tcW w:type="dxa" w:w="1440"/>
            <w:shd w:fill="102C57"/>
            <w:tcMar>
              <w:top w:w="100" w:type="dxa"/>
              <w:bottom w:w="100" w:type="dxa"/>
              <w:left w:w="80" w:type="dxa"/>
              <w:right w:w="80" w:type="dxa"/>
            </w:tcMar>
          </w:tcPr>
          <w:p>
            <w:pPr>
              <w:jc w:val="center"/>
            </w:pPr>
            <w:r>
              <w:rPr>
                <w:rFonts w:ascii="Times New Roman" w:hAnsi="Times New Roman"/>
                <w:b/>
                <w:i w:val="0"/>
                <w:color w:val="FFFFFF"/>
                <w:sz w:val="17"/>
              </w:rPr>
              <w:t>Tiêu chí xuất xứ ATIGA</w:t>
            </w:r>
          </w:p>
        </w:tc>
      </w:tr>
      <w:tr>
        <w:tc>
          <w:tcPr>
            <w:tcW w:type="dxa" w:w="720"/>
            <w:tcMar>
              <w:top w:w="80" w:type="dxa"/>
              <w:bottom w:w="80" w:type="dxa"/>
              <w:left w:w="80" w:type="dxa"/>
              <w:right w:w="80" w:type="dxa"/>
            </w:tcMar>
          </w:tcPr>
          <w:p>
            <w:pPr>
              <w:jc w:val="center"/>
            </w:pPr>
            <w:r>
              <w:rPr>
                <w:rFonts w:ascii="Times New Roman" w:hAnsi="Times New Roman"/>
                <w:b w:val="0"/>
                <w:i w:val="0"/>
                <w:sz w:val="17"/>
              </w:rPr>
              <w:t>1</w:t>
            </w:r>
          </w:p>
        </w:tc>
        <w:tc>
          <w:tcPr>
            <w:tcW w:type="dxa" w:w="3168"/>
            <w:tcMar>
              <w:top w:w="80" w:type="dxa"/>
              <w:bottom w:w="80" w:type="dxa"/>
              <w:left w:w="80" w:type="dxa"/>
              <w:right w:w="80" w:type="dxa"/>
            </w:tcMar>
          </w:tcPr>
          <w:p>
            <w:r>
              <w:rPr>
                <w:rFonts w:ascii="Times New Roman" w:hAnsi="Times New Roman"/>
                <w:b w:val="0"/>
                <w:i w:val="0"/>
                <w:sz w:val="17"/>
              </w:rPr>
              <w:t>Snack Quẩy Giòn Giòn</w:t>
              <w:br/>
              <w:t>(Quy cách: Cốc 22g; 300 cốc/thùng carton 5 lớp)</w:t>
            </w:r>
          </w:p>
        </w:tc>
        <w:tc>
          <w:tcPr>
            <w:tcW w:type="dxa" w:w="1296"/>
            <w:tcMar>
              <w:top w:w="80" w:type="dxa"/>
              <w:bottom w:w="80" w:type="dxa"/>
              <w:left w:w="80" w:type="dxa"/>
              <w:right w:w="80" w:type="dxa"/>
            </w:tcMar>
          </w:tcPr>
          <w:p>
            <w:pPr>
              <w:jc w:val="center"/>
            </w:pPr>
            <w:r>
              <w:rPr>
                <w:rFonts w:ascii="Times New Roman" w:hAnsi="Times New Roman"/>
                <w:b w:val="0"/>
                <w:i w:val="0"/>
                <w:sz w:val="17"/>
              </w:rPr>
              <w:t>1905.90.90</w:t>
            </w:r>
          </w:p>
        </w:tc>
        <w:tc>
          <w:tcPr>
            <w:tcW w:type="dxa" w:w="1440"/>
            <w:tcMar>
              <w:top w:w="80" w:type="dxa"/>
              <w:bottom w:w="80" w:type="dxa"/>
              <w:left w:w="80" w:type="dxa"/>
              <w:right w:w="80" w:type="dxa"/>
            </w:tcMar>
          </w:tcPr>
          <w:p>
            <w:pPr>
              <w:jc w:val="center"/>
            </w:pPr>
            <w:r>
              <w:rPr>
                <w:rFonts w:ascii="Times New Roman" w:hAnsi="Times New Roman"/>
                <w:b w:val="0"/>
                <w:i w:val="0"/>
                <w:sz w:val="17"/>
              </w:rPr>
              <w:t>1.300 Thùng</w:t>
              <w:br/>
              <w:t>(390.000 cốc)</w:t>
            </w:r>
          </w:p>
        </w:tc>
        <w:tc>
          <w:tcPr>
            <w:tcW w:type="dxa" w:w="2016"/>
            <w:tcMar>
              <w:top w:w="80" w:type="dxa"/>
              <w:bottom w:w="80" w:type="dxa"/>
              <w:left w:w="80" w:type="dxa"/>
              <w:right w:w="80" w:type="dxa"/>
            </w:tcMar>
          </w:tcPr>
          <w:p>
            <w:r>
              <w:rPr>
                <w:rFonts w:ascii="Times New Roman" w:hAnsi="Times New Roman"/>
                <w:b w:val="0"/>
                <w:i w:val="0"/>
                <w:sz w:val="17"/>
              </w:rPr>
              <w:t>Net: 8.580 kg</w:t>
              <w:br/>
              <w:t>Gross: 11.440 kg</w:t>
              <w:br/>
              <w:t>(102,05 CBM)</w:t>
            </w:r>
          </w:p>
        </w:tc>
        <w:tc>
          <w:tcPr>
            <w:tcW w:type="dxa" w:w="1440"/>
            <w:tcMar>
              <w:top w:w="80" w:type="dxa"/>
              <w:bottom w:w="80" w:type="dxa"/>
              <w:left w:w="80" w:type="dxa"/>
              <w:right w:w="80" w:type="dxa"/>
            </w:tcMar>
          </w:tcPr>
          <w:p>
            <w:pPr>
              <w:jc w:val="center"/>
            </w:pPr>
            <w:r>
              <w:rPr>
                <w:rFonts w:ascii="Times New Roman" w:hAnsi="Times New Roman"/>
                <w:b w:val="0"/>
                <w:i w:val="0"/>
                <w:sz w:val="17"/>
              </w:rPr>
              <w:t>CTH hoặc RVC ≥ 40%</w:t>
              <w:br/>
              <w:t>(Xuất xứ Việt Nam)</w:t>
            </w:r>
          </w:p>
        </w:tc>
      </w:tr>
    </w:tbl>
    <w:p/>
    <w:p>
      <w:r>
        <w:rPr>
          <w:rFonts w:ascii="Times New Roman" w:hAnsi="Times New Roman"/>
          <w:b w:val="0"/>
          <w:i w:val="0"/>
          <w:sz w:val="19"/>
        </w:rPr>
        <w:t>I. GIẢI TRÌNH TIÊU CHÍ XUẤT XỨ THỰC TẾ (CRITERIA COMPLIANCE):</w:t>
        <w:br/>
        <w:t>1. Tiêu chí Chuyển đổi mã số hàng hóa (CTH - Change in Tariff Heading):</w:t>
        <w:br/>
        <w:t xml:space="preserve">   - Toàn bộ nguyên liệu đầu vào chính gồm Bột mì (HS 1101.00.19 - Chương 11) và Dầu Olein cọ tinh luyện (HS 1511.90.36 - Chương 15) cùng đường, gia vị được thu mua từ các nhà cung cấp nội địa hợp pháp tại Việt Nam (có đầy đủ hóa đơn GTGT điện tử có mã CQT);</w:t>
        <w:br/>
        <w:t xml:space="preserve">   - Thành phẩm tạo thành là Snack Quẩy Giòn Giòn mang mã số HS 1905.90.90 (thuộc Chương 19). Quá trình sản xuất công nghệ cao đã làm thay đổi hoàn toàn mã số HS ở cấp độ 4 số từ Chương 11, 15 sang Nhóm 19.05, đáp ứng hoàn toàn tiêu chí CTH theo Hiệp định ATIGA.</w:t>
        <w:br/>
        <w:t>2. Công nghệ sản xuất thực tế tại Nhà máy Lương Sơn, Phú Thọ:</w:t>
        <w:br/>
        <w:t xml:space="preserve">   - Quy trình khép kín 8 bước: Tiếp nhận NVL —&gt; Phối trộn bột công thức —&gt; NẤU CHÍN &amp; ÉP ĐÙN NỞ PHỒNG TRỰC TIẾP QUA ĐẦU KHUÔN SINH NHIỆT VÀ ÁP SUẤT CAO, KHI RA NGOÀI GẶP KHÔNG KHÍ TỰ ĐỘNG ĐỊNH HÌNH GIÒN RỤM (HOÀN TOÀN KHÔNG QUA BỒN CHIÊN DẦU NHÚNG NGẬP) —&gt; Cắt định lượng khúc quẩy tự động —&gt; Phun tẩm gia vị trong lồng quay —&gt; Làm mát &amp; đóng cốc tự động 22g —&gt; Hàn nhiệt niêm phong màng nắp cốc —&gt; Đóng thùng carton sóng 5 lớp (300 cốc/thùng) &amp; KCS lưu kho.</w:t>
        <w:br/>
        <w:t xml:space="preserve">   - Quy trình chế biến sâu vượt xa các công đoạn gia công đơn giản theo Điều 9 Thông tư số 22/2016/TT-BCT.</w:t>
        <w:br/>
        <w:br/>
        <w:t>II. CAM KẾT VÀ TRÁCH NHIỆM PHÁP LÝ:</w:t>
        <w:br/>
        <w:t>1. Chúng tôi xin cam đoan toàn bộ thông tin khai báo trong Bản cam kết này là hoàn toàn đúng sự thật, chính xác và hợp pháp.</w:t>
        <w:br/>
        <w:t>2. Chúng tôi cam kết chịu hoàn toàn trách nhiệm trước pháp luật Việt Nam, cơ quan Hải quan và cơ quan cấp C/O của Bộ Công Thương về tính trung thực của hồ sơ xuất xứ này, sẵn sàng phối hợp giải trình và xuất trình đầy đủ sổ sách kế toán, hóa đơn chứng từ đầu vào khi cơ quan thẩm quyền tiến hành kiểm tra sau thông quan (Post-Clearance Audit).</w:t>
      </w:r>
    </w:p>
    <w:p/>
    <w:p>
      <w:pPr>
        <w:jc w:val="right"/>
      </w:pPr>
      <w:r>
        <w:rPr>
          <w:rFonts w:ascii="Times New Roman" w:hAnsi="Times New Roman"/>
          <w:b w:val="0"/>
          <w:i/>
          <w:sz w:val="20"/>
        </w:rPr>
        <w:t>Phú Thọ, ngày 16 tháng 09 năm 2026</w:t>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i w:val="0"/>
                <w:sz w:val="19"/>
              </w:rPr>
              <w:t>BỘ PHẬN KỸ THUẬT &amp; KCS</w:t>
              <w:br/>
              <w:t>(Ký, ghi rõ họ tên)</w:t>
            </w:r>
          </w:p>
        </w:tc>
        <w:tc>
          <w:tcPr>
            <w:tcW w:type="dxa" w:w="4968"/>
          </w:tcPr>
          <w:p>
            <w:pPr>
              <w:jc w:val="center"/>
            </w:pPr>
            <w:r>
              <w:rPr>
                <w:rFonts w:ascii="Times New Roman" w:hAnsi="Times New Roman"/>
                <w:b/>
                <w:i w:val="0"/>
                <w:sz w:val="19"/>
              </w:rPr>
              <w:t>ĐẠI DIỆN NHÀ SẢN XUẤT</w:t>
              <w:br/>
              <w:t>CÔNG TY TNHH ĐTTM CÔNG NGHIỆP THIÊN LONG</w:t>
              <w:br/>
              <w:t>(Ký tên, đóng dấu mộc đỏ)</w:t>
            </w:r>
          </w:p>
        </w:tc>
      </w:tr>
      <w:tr>
        <w:tc>
          <w:tcPr>
            <w:tcW w:type="dxa" w:w="4968"/>
          </w:tcPr>
          <w:p>
            <w:pPr>
              <w:jc w:val="center"/>
            </w:pPr>
            <w:r>
              <w:rPr>
                <w:rFonts w:ascii="Times New Roman" w:hAnsi="Times New Roman"/>
                <w:b/>
                <w:i w:val="0"/>
                <w:sz w:val="19"/>
              </w:rPr>
              <w:br/>
              <w:br/>
              <w:br/>
              <w:t>Trưởng phòng Kỹ thuật</w:t>
            </w:r>
          </w:p>
        </w:tc>
        <w:tc>
          <w:tcPr>
            <w:tcW w:type="dxa" w:w="4968"/>
          </w:tcPr>
          <w:p>
            <w:pPr>
              <w:jc w:val="center"/>
            </w:pPr>
            <w:r>
              <w:rPr>
                <w:rFonts w:ascii="Times New Roman" w:hAnsi="Times New Roman"/>
                <w:b/>
                <w:i w:val="0"/>
                <w:sz w:val="19"/>
              </w:rPr>
              <w:br/>
              <w:br/>
              <w:br/>
              <w:t>ĐẶNG THỊ THU HƯƠNG</w:t>
              <w:br/>
              <w:t>Giám Đốc</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