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Исследование влияния стратегий извлечения и сегментации документов на качество семантического поиска в архитектуре RAG для нормативно-правовых актов Республики Казахстан</w:t>
      </w:r>
    </w:p>
    <w:p>
      <w:pPr>
        <w:spacing w:after="120"/>
        <w:ind w:firstLine="709"/>
      </w:pPr>
      <w:r>
        <w:rPr>
          <w:b/>
        </w:rPr>
        <w:t>Авторы:</w:t>
      </w:r>
      <w:r>
        <w:t xml:space="preserve"> [Фамилия И.О.]</w:t>
      </w:r>
    </w:p>
    <w:p>
      <w:pPr>
        <w:spacing w:after="120"/>
        <w:ind w:firstLine="709"/>
      </w:pPr>
      <w:r>
        <w:rPr>
          <w:b/>
        </w:rPr>
        <w:t>Аффилиация:</w:t>
      </w:r>
      <w:r>
        <w:t xml:space="preserve"> [Название университета], г. [Город], Республика Казахстан</w:t>
      </w:r>
    </w:p>
    <w:p>
      <w:pPr>
        <w:spacing w:after="120"/>
        <w:ind w:firstLine="709"/>
      </w:pPr>
      <w:r>
        <w:rPr>
          <w:b/>
        </w:rPr>
        <w:t>Контактный e-mail:</w:t>
      </w:r>
      <w:r>
        <w:t xml:space="preserve"> [email]</w:t>
      </w:r>
    </w:p>
    <w:p>
      <w:pPr>
        <w:pStyle w:val="Heading2"/>
      </w:pPr>
      <w:r>
        <w:t>Аннотация</w:t>
      </w:r>
    </w:p>
    <w:p>
      <w:pPr>
        <w:spacing w:after="120"/>
        <w:ind w:firstLine="709"/>
      </w:pPr>
      <w:r>
        <w:t xml:space="preserve">В настоящей работе представлены результаты экспериментального исследования архитектуры Retrieval-Augmented Generation (RAG), адаптированной для семантического поиска в нормативно-правовых актах (НПА) Республики Казахстан. Объектом эксперимента выбран Земельный кодекс РК (187 статей, 1557 наивных чанков). Проведён сравнительный анализ пяти стратегий извлечения: лексической (BM25 Okapi), плотной векторной (Dense Retrieval на multilingual-e5-small), гибридной (Reciprocal Rank Fusion, </w:t>
      </w:r>
      <w:r>
        <w:rPr>
          <w:rFonts w:ascii="Cambria Math" w:hAnsi="Cambria Math"/>
          <w:i/>
        </w:rPr>
        <w:t>k=60</w:t>
      </w:r>
      <w:r>
        <w:t>) с двумя стратегиями сегментации (структурный постатейный чанкинг и наивный чанкинг с окном 500 символов) и полного RAG-конвейера с генерацией ответов через Google Gemini 1.5 Flash. Оценка выполнена на контрольном датасете из 15 вопросов с эталонными ответами по метрикам Hit@1, Hit@3, MRR, Citation Accuracy и показателям задержки (Retrieval Latency, TTFT, End-to-End Latency). Экспериментально установлено, что гибридный поиск с наивным чанкингом (Naive 500) демонстрирует наивысшую точность извлечения (Hit@1 = 0.533, MRR = 0.567, Citation Accuracy = 53.3%), превосходя как изолированные лексический и векторный методы, так и гибридный поиск на структурном корпусе. Показано, что интеграция генеративного компонента (LLM) не улучшает показатели точности цитирования (Citation Accuracy снижается с 53.3% до 33.3%), при этом увеличивает сквозную задержку в 4.5 раза (от 34.9 мс до 154.8 мс). Сформулированы инженерные рекомендации по выбору стратегии сегментации и метода поиска для систем поддержки принятия решений в правовой сфере.</w:t>
      </w:r>
    </w:p>
    <w:p>
      <w:pPr>
        <w:spacing w:after="120"/>
        <w:ind w:firstLine="709"/>
      </w:pPr>
      <w:r>
        <w:rPr>
          <w:b/>
        </w:rPr>
        <w:t>Ключевые слова:</w:t>
      </w:r>
      <w:r>
        <w:t xml:space="preserve"> RAG, информационный поиск, нормативно-правовые акты, BM25, Dense Retrieval, Hybrid Search, Reciprocal Rank Fusion, ChromaDB, LLM, Gemini, правовая информатика.</w:t>
      </w:r>
    </w:p>
    <w:p>
      <w:pPr>
        <w:pStyle w:val="Heading2"/>
      </w:pPr>
      <w:r>
        <w:t>1. Введение</w:t>
      </w:r>
    </w:p>
    <w:p>
      <w:pPr>
        <w:pStyle w:val="Heading3"/>
      </w:pPr>
      <w:r>
        <w:t>1.1. Актуальность исследования</w:t>
      </w:r>
    </w:p>
    <w:p>
      <w:pPr>
        <w:spacing w:after="120"/>
        <w:ind w:firstLine="709"/>
      </w:pPr>
      <w:r>
        <w:t>Системы автоматизированного поиска юридической информации приобретают возрастающее значение в условиях роста объёма нормативно-правовой базы. Законодательство Республики Казахстан включает свыше 150 кодексов и тысячи законов, актуализация которых происходит непрерывно. Практикующие юристы, государственные служащие и граждане сталкиваются с проблемой оперативного извлечения релевантных норм из обширного правового массива.</w:t>
      </w:r>
    </w:p>
    <w:p>
      <w:pPr>
        <w:spacing w:after="120"/>
        <w:ind w:firstLine="709"/>
      </w:pPr>
      <w:r>
        <w:t>Архитектура Retrieval-Augmented Generation (RAG), предложенная Lewis et al. [1], объединяет механизм извлечения релевантных фрагментов документов с генеративной языковой моделью, что позволяет формировать ответы с опорой на конкретные нормативные источники. Однако качество RAG-системы критически зависит от двух архитектурных параметров:</w:t>
      </w:r>
    </w:p>
    <w:p>
      <w:pPr>
        <w:pStyle w:val="ListNumber"/>
      </w:pPr>
      <w:r>
        <w:rPr>
          <w:b/>
        </w:rPr>
        <w:t>Стратегия сегментации</w:t>
      </w:r>
      <w:r>
        <w:t xml:space="preserve"> (chunking strategy) — определяет границы текстовых фрагментов, подаваемых в векторное хранилище.</w:t>
      </w:r>
    </w:p>
    <w:p>
      <w:pPr>
        <w:pStyle w:val="ListNumber"/>
      </w:pPr>
      <w:r>
        <w:rPr>
          <w:b/>
        </w:rPr>
        <w:t>Метод извлечения</w:t>
      </w:r>
      <w:r>
        <w:t xml:space="preserve"> (retrieval method) — определяет алгоритм ранжирования кандидатов при поисковом запросе.</w:t>
      </w:r>
    </w:p>
    <w:p>
      <w:pPr>
        <w:spacing w:after="120"/>
        <w:ind w:firstLine="709"/>
      </w:pPr>
      <w:r>
        <w:t>В контексте правовых текстов указанные параметры приобретают особое значение: юридические нормы обладают формализованной иерархической структурой (разделы → главы → статьи → пункты), а терминологический аппарат предполагает высокую степень лексического совпадения между запросом и нормой.</w:t>
      </w:r>
    </w:p>
    <w:p>
      <w:pPr>
        <w:pStyle w:val="Heading3"/>
      </w:pPr>
      <w:r>
        <w:t>1.2. Обзор литературы</w:t>
      </w:r>
    </w:p>
    <w:p>
      <w:pPr>
        <w:spacing w:after="120"/>
        <w:ind w:firstLine="709"/>
      </w:pPr>
      <w:r>
        <w:t>Исследования в области RAG для специализированных доменов можно систематизировать по следующим направлениям.</w:t>
      </w:r>
    </w:p>
    <w:p>
      <w:pPr>
        <w:spacing w:after="120"/>
        <w:ind w:firstLine="709"/>
      </w:pPr>
      <w:r>
        <w:rPr>
          <w:b/>
        </w:rPr>
        <w:t>Стратегии сегментации.</w:t>
      </w:r>
      <w:r>
        <w:t xml:space="preserve"> Langchain [2] и LlamaIndex [3] предлагают фиксированное окно (наивный чанкинг) как базовую стратегию. Yepes et al. [4] показали, что для структурированных документов (законы, стандарты) семантически осмысленное деление по структурным единицам повышает точность поиска на 12–18% по сравнению с наивным подходом. Вместе с тем исследования на корпусах с высокой внутридокументной вариативностью длин статей (от 50 до 5000 символов) демонстрируют обратный эффект: наивный чанкинг выравнивает дисперсию длин и стабилизирует эмбеддинги [5].</w:t>
      </w:r>
    </w:p>
    <w:p>
      <w:pPr>
        <w:spacing w:after="120"/>
        <w:ind w:firstLine="709"/>
      </w:pPr>
      <w:r>
        <w:rPr>
          <w:b/>
        </w:rPr>
        <w:t>Методы извлечения.</w:t>
      </w:r>
      <w:r>
        <w:t xml:space="preserve"> BM25 Okapi [6] остаётся конкурентоспособным базовым методом, особенно на юридических текстах с формализованной терминологией. Karpukhin et al. [7] продемонстрировали превосходство плотного извлечения (Dense Passage Retrieval, DPR) на открытых вопросно-ответных датасетах. Метод Reciprocal Rank Fusion (RRF) [8] используется для объединения ранжированных списков из разнородных источников и показал устойчивое улучшение полноты (Recall) при комбинировании лексического и векторного поиска.</w:t>
      </w:r>
    </w:p>
    <w:p>
      <w:pPr>
        <w:spacing w:after="120"/>
        <w:ind w:firstLine="709"/>
      </w:pPr>
      <w:r>
        <w:rPr>
          <w:b/>
        </w:rPr>
        <w:t>RAG в правовой сфере.</w:t>
      </w:r>
      <w:r>
        <w:t xml:space="preserve"> Cui et al. [9] применили RAG к китайскому правовому корпусу, достигнув Hit@3 = 0.71. Исследования на европейском законодательстве (EUR-Lex) [10] продемонстрировали, что гибридные подходы превосходят изолированные методы на 8–15% по MRR.</w:t>
      </w:r>
    </w:p>
    <w:p>
      <w:pPr>
        <w:pStyle w:val="Heading3"/>
      </w:pPr>
      <w:r>
        <w:t>1.3. Научная новизна и цель</w:t>
      </w:r>
    </w:p>
    <w:p>
      <w:pPr>
        <w:spacing w:after="120"/>
        <w:ind w:firstLine="709"/>
      </w:pPr>
      <w:r>
        <w:t xml:space="preserve">Научная новизна данного исследования состоит в </w:t>
      </w:r>
      <w:r>
        <w:rPr>
          <w:b/>
        </w:rPr>
        <w:t>экспериментальном выявлении закономерностей влияния</w:t>
      </w:r>
      <w:r>
        <w:t xml:space="preserve"> стратегий чанкинга (постатейный vs наивный с окном 500 символов) и методов извлечения (BM25, Dense, Hybrid RRF) на полноту и точность нормативного поиска в специфических условиях казахстанского правового корпуса на русском языке.</w:t>
      </w:r>
    </w:p>
    <w:p>
      <w:pPr>
        <w:spacing w:after="120"/>
        <w:ind w:firstLine="709"/>
      </w:pPr>
      <w:r>
        <w:rPr>
          <w:b/>
        </w:rPr>
        <w:t>Цель работы</w:t>
      </w:r>
      <w:r>
        <w:t xml:space="preserve"> — определить оптимальную конфигурацию параметров RAG-архитектуры для систем поддержки принятия решений (СППР) в правовой сфере РК с учётом компромисса между качеством извлечения и задержкой отклика.</w:t>
      </w:r>
    </w:p>
    <w:p>
      <w:pPr>
        <w:pStyle w:val="Heading2"/>
      </w:pPr>
      <w:r>
        <w:t>2. Материалы и методы</w:t>
      </w:r>
    </w:p>
    <w:p>
      <w:pPr>
        <w:pStyle w:val="Heading3"/>
      </w:pPr>
      <w:r>
        <w:t>2.1. Корпус данных</w:t>
      </w:r>
    </w:p>
    <w:p>
      <w:pPr>
        <w:spacing w:after="120"/>
        <w:ind w:firstLine="709"/>
      </w:pPr>
      <w:r>
        <w:t>В качестве экспериментального корпуса использован полный текст Земельного кодекса Республики Казахстан (ЗК РК). Выбор обусловлен:</w:t>
      </w:r>
    </w:p>
    <w:p>
      <w:pPr>
        <w:pStyle w:val="ListBullet"/>
      </w:pPr>
      <w:r>
        <w:t>репрезентативным объёмом (187 статей);</w:t>
      </w:r>
    </w:p>
    <w:p>
      <w:pPr>
        <w:pStyle w:val="ListBullet"/>
      </w:pPr>
      <w:r>
        <w:t>наличием иерархической структуры (разделы, главы, параграфы);</w:t>
      </w:r>
    </w:p>
    <w:p>
      <w:pPr>
        <w:pStyle w:val="ListBullet"/>
      </w:pPr>
      <w:r>
        <w:t>высокой практической значимостью для земельных правоотношений.</w:t>
      </w:r>
    </w:p>
    <w:p>
      <w:pPr>
        <w:spacing w:after="120"/>
        <w:ind w:firstLine="709"/>
      </w:pPr>
      <w:r>
        <w:t>Подготовлены два варианта корпуса: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323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Structural Corpus</w:t>
            </w:r>
          </w:p>
        </w:tc>
        <w:tc>
          <w:tcPr>
            <w:tcW w:type="dxa" w:w="323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Naive Corpus (500)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Единица сегментации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Одна статья ЗК РК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Окно 500 символов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Количество чанков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187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1557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Средняя длина чанка, симв.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~690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~500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Метаданные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`article_number`, `article_title`, `chapter`, `section`, `is_repealed`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`article_number` (восстановлен), `chunk_index`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Перекрытие (overlap)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нет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10–15%</w:t>
            </w:r>
          </w:p>
        </w:tc>
      </w:tr>
    </w:tbl>
    <w:p/>
    <w:p>
      <w:pPr>
        <w:spacing w:after="120"/>
        <w:ind w:firstLine="709"/>
      </w:pPr>
      <w:r>
        <w:t xml:space="preserve">Парсинг и сегментация реализованы в модуле </w:t>
      </w:r>
      <w:r>
        <w:rPr>
          <w:rFonts w:ascii="Consolas" w:hAnsi="Consolas"/>
          <w:color w:val="800000"/>
          <w:sz w:val="18"/>
        </w:rPr>
        <w:t>RKCodeChunker</w:t>
      </w:r>
      <w:r>
        <w:t xml:space="preserve"> с регулярными выражениями, учитывающими специфику ИЗПИ РК: номера статей с дефисами (14-1, 270-4), сноски, утратившие силу нормы.</w:t>
      </w:r>
    </w:p>
    <w:p>
      <w:pPr>
        <w:pStyle w:val="Heading3"/>
      </w:pPr>
      <w:r>
        <w:t>2.2. Контрольный датасет (Ground Truth)</w:t>
      </w:r>
    </w:p>
    <w:p>
      <w:pPr>
        <w:spacing w:after="120"/>
        <w:ind w:firstLine="709"/>
      </w:pPr>
      <w:r>
        <w:t>Для оценки качества извлечения сформирован контрольный датасет из 15 вопросов, покрывающих различные разделы ЗК РК: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323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Тематика вопроса</w:t>
            </w:r>
          </w:p>
        </w:tc>
        <w:tc>
          <w:tcPr>
            <w:tcW w:type="dxa" w:w="323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Целевая статья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q01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Категории земельного фонда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ст. 1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q02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Отнесение земель к категориям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ст. 2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q03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Право собственности на землю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ст. 3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q04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Объект земельных отношений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ст. 6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q05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Субъекты земельных отношений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ст. 7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q06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Компетенция Правительства РК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ст. 10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q07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Полномочия уполномоченного органа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ст. 11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q08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Геодезия и картография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ст. 14-1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q09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Права иностранцев на с/х земли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ст. 24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q10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Постоянное землепользование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ст. 26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q11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Приобретение земель на торгах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ст. 48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q12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Принудительное отчуждение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ст. 84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q13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Земли с/х назначения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ст. 97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q14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Земли населенных пунктов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ст. 107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q15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Земли пограничной полосы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/>
                <w:sz w:val="20"/>
              </w:rPr>
              <w:t>ст. 24</w:t>
            </w:r>
          </w:p>
        </w:tc>
      </w:tr>
    </w:tbl>
    <w:p/>
    <w:p>
      <w:pPr>
        <w:spacing w:after="120"/>
        <w:ind w:firstLine="709"/>
      </w:pPr>
      <w:r>
        <w:t>Каждый вопрос сопровождается эталонным ответом с указанием номера целевой статьи, что позволяет вычислить метрики на уровне статьи.</w:t>
      </w:r>
    </w:p>
    <w:p>
      <w:pPr>
        <w:pStyle w:val="Heading3"/>
      </w:pPr>
      <w:r>
        <w:t>2.3. Архитектура системы</w:t>
      </w:r>
    </w:p>
    <w:p>
      <w:pPr>
        <w:spacing w:after="120"/>
        <w:ind w:firstLine="709"/>
      </w:pPr>
      <w:r>
        <w:t>Система реализована в виде модульного Python-приложения со следующей архитектурой:</w:t>
      </w:r>
    </w:p>
    <w:p>
      <w:pPr>
        <w:spacing w:before="120" w:after="120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                    Запрос пользователя                │</w:t>
        <w:br/>
        <w:t>└───────────────┬─────────────────────────────────────────┘</w:t>
        <w:br/>
        <w:t xml:space="preserve">                │</w:t>
        <w:br/>
        <w:t xml:space="preserve">    ┌───────────▼───────────┐</w:t>
        <w:br/>
        <w:t xml:space="preserve">    │    Retrieval Engine   │</w:t>
        <w:br/>
        <w:t xml:space="preserve">    │  ┌─────────────────┐  │</w:t>
        <w:br/>
        <w:t xml:space="preserve">    │  │   BM25Searcher  │  │──── rank_bm25 (BM25Okapi)</w:t>
        <w:br/>
        <w:t xml:space="preserve">    │  └────────┬────────┘  │</w:t>
        <w:br/>
        <w:t xml:space="preserve">    │           │ RRF(k=60) │</w:t>
        <w:br/>
        <w:t xml:space="preserve">    │  ┌────────▼────────┐  │</w:t>
        <w:br/>
        <w:t xml:space="preserve">    │  │ HybridSearcher  │  │──── Reciprocal Rank Fusion</w:t>
        <w:br/>
        <w:t xml:space="preserve">    │  └────────┬────────┘  │</w:t>
        <w:br/>
        <w:t xml:space="preserve">    │  ┌────────▼────────┐  │</w:t>
        <w:br/>
        <w:t xml:space="preserve">    │  │  DenseSearcher  │  │──── ChromaDB + multilingual-e5-small</w:t>
        <w:br/>
        <w:t xml:space="preserve">    │  └─────────────────┘  │</w:t>
        <w:br/>
        <w:t xml:space="preserve">    └───────────┬───────────┘</w:t>
        <w:br/>
        <w:t xml:space="preserve">                │  Top-K статей</w:t>
        <w:br/>
        <w:t xml:space="preserve">    ┌───────────▼───────────┐</w:t>
        <w:br/>
        <w:t xml:space="preserve">    │  Generation Pipeline  │</w:t>
        <w:br/>
        <w:t xml:space="preserve">    │  Gemini 1.5 Flash     │──── temperature=0.1, streaming TTFT</w:t>
        <w:br/>
        <w:t xml:space="preserve">    │  + System Prompt      │</w:t>
        <w:br/>
        <w:t xml:space="preserve">    └───────────┬───────────┘</w:t>
        <w:br/>
        <w:t xml:space="preserve">                │</w:t>
        <w:br/>
        <w:t xml:space="preserve">    ┌───────────▼───────────┐</w:t>
        <w:br/>
        <w:t xml:space="preserve">    │  Юридический ответ    │</w:t>
        <w:br/>
        <w:t xml:space="preserve">    │  + Citation Accuracy  │</w:t>
        <w:br/>
        <w:t xml:space="preserve">    └───────────────────────┘</w:t>
      </w:r>
    </w:p>
    <w:p>
      <w:pPr>
        <w:spacing w:after="120"/>
        <w:ind w:firstLine="709"/>
      </w:pPr>
      <w:r>
        <w:rPr>
          <w:b/>
        </w:rPr>
        <w:t>Технологический стек:</w:t>
      </w:r>
    </w:p>
    <w:p>
      <w:pPr>
        <w:pStyle w:val="ListBullet"/>
      </w:pPr>
      <w:r>
        <w:t>Векторная БД: ChromaDB (</w:t>
      </w:r>
      <w:r>
        <w:rPr>
          <w:rFonts w:ascii="Consolas" w:hAnsi="Consolas"/>
          <w:color w:val="800000"/>
          <w:sz w:val="18"/>
        </w:rPr>
        <w:t>PersistentClient</w:t>
      </w:r>
      <w:r>
        <w:t>, косинусная дистанция)</w:t>
      </w:r>
    </w:p>
    <w:p>
      <w:pPr>
        <w:pStyle w:val="ListBullet"/>
      </w:pPr>
      <w:r>
        <w:t xml:space="preserve">Модель эмбеддингов: </w:t>
      </w:r>
      <w:r>
        <w:rPr>
          <w:rFonts w:ascii="Consolas" w:hAnsi="Consolas"/>
          <w:color w:val="800000"/>
          <w:sz w:val="18"/>
        </w:rPr>
        <w:t>intfloat/multilingual-e5-small</w:t>
      </w:r>
      <w:r>
        <w:t xml:space="preserve"> (384-мерное пространство)</w:t>
      </w:r>
    </w:p>
    <w:p>
      <w:pPr>
        <w:pStyle w:val="ListBullet"/>
      </w:pPr>
      <w:r>
        <w:t>Лексический индекс: BM25 Okapi (</w:t>
      </w:r>
      <w:r>
        <w:rPr>
          <w:rFonts w:ascii="Consolas" w:hAnsi="Consolas"/>
          <w:color w:val="800000"/>
          <w:sz w:val="18"/>
        </w:rPr>
        <w:t>rank_bm25</w:t>
      </w:r>
      <w:r>
        <w:t xml:space="preserve">), сериализация через </w:t>
      </w:r>
      <w:r>
        <w:rPr>
          <w:rFonts w:ascii="Consolas" w:hAnsi="Consolas"/>
          <w:color w:val="800000"/>
          <w:sz w:val="18"/>
        </w:rPr>
        <w:t>pickle</w:t>
      </w:r>
    </w:p>
    <w:p>
      <w:pPr>
        <w:pStyle w:val="ListBullet"/>
      </w:pPr>
      <w:r>
        <w:t>Генеративная модель: Google Gemini 1.5 Flash (</w:t>
      </w:r>
      <w:r>
        <w:rPr>
          <w:rFonts w:ascii="Consolas" w:hAnsi="Consolas"/>
          <w:color w:val="800000"/>
          <w:sz w:val="18"/>
        </w:rPr>
        <w:t>temperature=0.1</w:t>
      </w:r>
      <w:r>
        <w:t xml:space="preserve">, </w:t>
      </w:r>
      <w:r>
        <w:rPr>
          <w:rFonts w:ascii="Consolas" w:hAnsi="Consolas"/>
          <w:color w:val="800000"/>
          <w:sz w:val="18"/>
        </w:rPr>
        <w:t>max_output_tokens=1024</w:t>
      </w:r>
      <w:r>
        <w:t>)</w:t>
      </w:r>
    </w:p>
    <w:p>
      <w:pPr>
        <w:pStyle w:val="ListBullet"/>
      </w:pPr>
      <w:r>
        <w:t xml:space="preserve">Гибридное ранжирование: Reciprocal Rank Fusion с </w:t>
      </w:r>
      <w:r>
        <w:rPr>
          <w:rFonts w:ascii="Cambria Math" w:hAnsi="Cambria Math"/>
          <w:i/>
        </w:rPr>
        <w:t>k=60</w:t>
      </w:r>
    </w:p>
    <w:p>
      <w:pPr>
        <w:pStyle w:val="Heading3"/>
      </w:pPr>
      <w:r>
        <w:t>2.4. Стратегии извлечения</w:t>
      </w:r>
    </w:p>
    <w:p>
      <w:pPr>
        <w:spacing w:after="120"/>
        <w:ind w:firstLine="709"/>
      </w:pPr>
      <w:r>
        <w:t>В рамках эксперимента исследованы 5 стратегий:</w:t>
      </w:r>
    </w:p>
    <w:p>
      <w:pPr>
        <w:pStyle w:val="ListNumber"/>
      </w:pPr>
      <w:r>
        <w:rPr>
          <w:b/>
        </w:rPr>
        <w:t>BM25 (Structural)</w:t>
      </w:r>
      <w:r>
        <w:t xml:space="preserve"> — лексический поиск по структурному корпусу (187 статей).</w:t>
      </w:r>
    </w:p>
    <w:p>
      <w:pPr>
        <w:pStyle w:val="ListNumber"/>
      </w:pPr>
      <w:r>
        <w:rPr>
          <w:b/>
        </w:rPr>
        <w:t>Dense (Structural)</w:t>
      </w:r>
      <w:r>
        <w:t xml:space="preserve"> — семантический поиск в ChromaDB по структурному корпусу.</w:t>
      </w:r>
    </w:p>
    <w:p>
      <w:pPr>
        <w:pStyle w:val="ListNumber"/>
      </w:pPr>
      <w:r>
        <w:rPr>
          <w:b/>
        </w:rPr>
        <w:t>Hybrid (Structural)</w:t>
      </w:r>
      <w:r>
        <w:t xml:space="preserve"> — RRF-слияние BM25 и Dense на структурном корпусе.</w:t>
      </w:r>
    </w:p>
    <w:p>
      <w:pPr>
        <w:pStyle w:val="ListNumber"/>
      </w:pPr>
      <w:r>
        <w:rPr>
          <w:b/>
        </w:rPr>
        <w:t>Hybrid (Naive 500)</w:t>
      </w:r>
      <w:r>
        <w:t xml:space="preserve"> — RRF-слияние на наивном корпусе (1557 чанков по 500 символов).</w:t>
      </w:r>
    </w:p>
    <w:p>
      <w:pPr>
        <w:pStyle w:val="ListNumber"/>
      </w:pPr>
      <w:r>
        <w:rPr>
          <w:b/>
        </w:rPr>
        <w:t>Full RAG (Hybrid + Gemini)</w:t>
      </w:r>
      <w:r>
        <w:t xml:space="preserve"> — полный конвейер: Hybrid (Structural) + генерация ответа через Gemini 1.5 Flash.</w:t>
      </w:r>
    </w:p>
    <w:p>
      <w:pPr>
        <w:pStyle w:val="Heading3"/>
      </w:pPr>
      <w:r>
        <w:t>2.5. Метрики оценки</w:t>
      </w:r>
    </w:p>
    <w:p>
      <w:pPr>
        <w:spacing w:after="120"/>
        <w:ind w:firstLine="709"/>
      </w:pPr>
      <w:r>
        <w:t>Использованы стандартные метрики информационного поиска и RAG-систем:</w:t>
      </w:r>
    </w:p>
    <w:p>
      <w:pPr>
        <w:spacing w:after="120"/>
        <w:ind w:firstLine="709"/>
      </w:pPr>
      <w:r>
        <w:rPr>
          <w:b/>
        </w:rPr>
        <w:t>Метрики качества извлечения:</w:t>
      </w:r>
    </w:p>
    <w:p>
      <w:pPr>
        <w:spacing w:after="120"/>
        <w:ind w:firstLine="709"/>
      </w:pPr>
      <w:r>
        <w:rPr>
          <w:rFonts w:ascii="Cambria Math" w:hAnsi="Cambria Math"/>
          <w:i/>
          <w:sz w:val="22"/>
        </w:rPr>
        <w:t>\text{Hit@}k = \begin{cases} 1, &amp; \text{если целевая статья} \in \text{Top-}k \\ 0, &amp; \text{иначе} \end{cases}</w:t>
      </w:r>
    </w:p>
    <w:p>
      <w:pPr>
        <w:spacing w:after="120"/>
        <w:ind w:firstLine="709"/>
      </w:pPr>
      <w:r>
        <w:rPr>
          <w:rFonts w:ascii="Cambria Math" w:hAnsi="Cambria Math"/>
          <w:i/>
          <w:sz w:val="22"/>
        </w:rPr>
        <w:t>\text{MRR} = \frac{1}{|Q|} \sum_{i=1}^{|Q|} \frac{1}{\text{rank}_i}</w:t>
      </w:r>
    </w:p>
    <w:p>
      <w:pPr>
        <w:spacing w:after="120"/>
        <w:ind w:firstLine="709"/>
      </w:pPr>
      <w:r>
        <w:t xml:space="preserve">где </w:t>
      </w:r>
      <w:r>
        <w:rPr>
          <w:rFonts w:ascii="Cambria Math" w:hAnsi="Cambria Math"/>
          <w:i/>
        </w:rPr>
        <w:t>\text{rank}_i</w:t>
      </w:r>
      <w:r>
        <w:t xml:space="preserve"> — позиция первого вхождения целевой статьи в ранжированной выдаче для </w:t>
      </w:r>
      <w:r>
        <w:rPr>
          <w:rFonts w:ascii="Cambria Math" w:hAnsi="Cambria Math"/>
          <w:i/>
        </w:rPr>
        <w:t>i</w:t>
      </w:r>
      <w:r>
        <w:t xml:space="preserve">-го запроса; если статья не найдена, </w:t>
      </w:r>
      <w:r>
        <w:rPr>
          <w:rFonts w:ascii="Cambria Math" w:hAnsi="Cambria Math"/>
          <w:i/>
        </w:rPr>
        <w:t>\frac{1}{\text{rank}_i} = 0</w:t>
      </w:r>
      <w:r>
        <w:t>.</w:t>
      </w:r>
    </w:p>
    <w:p>
      <w:pPr>
        <w:spacing w:after="120"/>
        <w:ind w:firstLine="709"/>
      </w:pPr>
      <w:r>
        <w:rPr>
          <w:b/>
        </w:rPr>
        <w:t>Метрика качества генерации:</w:t>
      </w:r>
    </w:p>
    <w:p>
      <w:pPr>
        <w:spacing w:after="120"/>
        <w:ind w:firstLine="709"/>
      </w:pPr>
      <w:r>
        <w:rPr>
          <w:rFonts w:ascii="Cambria Math" w:hAnsi="Cambria Math"/>
          <w:i/>
          <w:sz w:val="22"/>
        </w:rPr>
        <w:t>\text{Citation Accuracy} = \frac{|\{q \in Q : \text{target\_article}(q) \in \text{citations}(q)\}|}{|Q|} \times 100\%</w:t>
      </w:r>
    </w:p>
    <w:p>
      <w:pPr>
        <w:spacing w:after="120"/>
        <w:ind w:firstLine="709"/>
      </w:pPr>
      <w:r>
        <w:rPr>
          <w:b/>
        </w:rPr>
        <w:t>Метрики задержки:</w:t>
      </w:r>
    </w:p>
    <w:p>
      <w:pPr>
        <w:pStyle w:val="ListBullet"/>
      </w:pPr>
      <w:r>
        <w:rPr>
          <w:rFonts w:ascii="Cambria Math" w:hAnsi="Cambria Math"/>
          <w:i/>
        </w:rPr>
        <w:t>t_{\text{retrieval}}</w:t>
      </w:r>
      <w:r>
        <w:t xml:space="preserve"> — время извлечения контекста (мс);</w:t>
      </w:r>
    </w:p>
    <w:p>
      <w:pPr>
        <w:pStyle w:val="ListBullet"/>
      </w:pPr>
      <w:r>
        <w:rPr>
          <w:rFonts w:ascii="Cambria Math" w:hAnsi="Cambria Math"/>
          <w:i/>
        </w:rPr>
        <w:t>t_{\text{TTFT}}</w:t>
      </w:r>
      <w:r>
        <w:t xml:space="preserve"> — Time-to-First-Token: задержка от отправки промпта до первого токена от LLM (мс);</w:t>
      </w:r>
    </w:p>
    <w:p>
      <w:pPr>
        <w:pStyle w:val="ListBullet"/>
      </w:pPr>
      <w:r>
        <w:rPr>
          <w:rFonts w:ascii="Cambria Math" w:hAnsi="Cambria Math"/>
          <w:i/>
        </w:rPr>
        <w:t>t_{\text{e2e}}</w:t>
      </w:r>
      <w:r>
        <w:t xml:space="preserve"> — сквозная задержка (мс): </w:t>
      </w:r>
      <w:r>
        <w:rPr>
          <w:rFonts w:ascii="Cambria Math" w:hAnsi="Cambria Math"/>
          <w:i/>
        </w:rPr>
        <w:t>t_{\text{e2e}} = t_{\text{retrieval}} + t_{\text{generation}}</w:t>
      </w:r>
      <w:r>
        <w:t>.</w:t>
      </w:r>
    </w:p>
    <w:p>
      <w:pPr>
        <w:spacing w:after="120"/>
        <w:ind w:firstLine="709"/>
      </w:pPr>
      <w:r>
        <w:t xml:space="preserve">Все замеры выполнены с использованием </w:t>
      </w:r>
      <w:r>
        <w:rPr>
          <w:rFonts w:ascii="Consolas" w:hAnsi="Consolas"/>
          <w:color w:val="800000"/>
          <w:sz w:val="18"/>
        </w:rPr>
        <w:t>time.perf_counter()</w:t>
      </w:r>
      <w:r>
        <w:t xml:space="preserve"> для обеспечения монотонности и субмиллисекундной точности.</w:t>
      </w:r>
    </w:p>
    <w:p>
      <w:pPr>
        <w:pStyle w:val="Heading2"/>
      </w:pPr>
      <w:r>
        <w:t>3. Результаты экспериментов</w:t>
      </w:r>
    </w:p>
    <w:p>
      <w:pPr>
        <w:pStyle w:val="Heading3"/>
      </w:pPr>
      <w:r>
        <w:t>3.1. Сводная таблица метрик качества</w:t>
      </w:r>
    </w:p>
    <w:p>
      <w:pPr>
        <w:spacing w:after="120"/>
        <w:ind w:firstLine="709"/>
      </w:pPr>
      <w:r>
        <w:t>В таблице 1 представлены агрегированные результаты по всем стратегиям, усреднённые по 15 запросам контрольного датасета.</w:t>
      </w:r>
    </w:p>
    <w:p>
      <w:pPr>
        <w:spacing w:after="120"/>
        <w:ind w:firstLine="709"/>
      </w:pPr>
      <w:r>
        <w:rPr>
          <w:b/>
        </w:rPr>
        <w:t>Таблица 1.</w:t>
      </w:r>
      <w:r>
        <w:t xml:space="preserve"> Сводные результаты оценки стратегий извлечения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Стратегия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Hit@1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Hit@3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MRR</w:t>
            </w:r>
          </w:p>
        </w:tc>
        <w:tc>
          <w:tcPr>
            <w:tcW w:type="dxa" w:w="1938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Citation Acc., %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/>
                <w:sz w:val="20"/>
              </w:rPr>
              <w:t>BM25 (Structural)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0.400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0.533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0.444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40.0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/>
                <w:sz w:val="20"/>
              </w:rPr>
              <w:t>Dense (Structural)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0.400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0.533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0.471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40.0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/>
                <w:sz w:val="20"/>
              </w:rPr>
              <w:t>Hybrid (Structural)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0.333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0.667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0.483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33.3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/>
                <w:sz w:val="20"/>
              </w:rPr>
              <w:t>Hybrid (Naive 500)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0.533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0.600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0.567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53.3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imes New Roman" w:hAnsi="Times New Roman"/>
                <w:sz w:val="20"/>
              </w:rPr>
              <w:t>Full RAG (Hybrid + Gemini)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0.333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0.667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0.467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33.3</w:t>
            </w:r>
          </w:p>
        </w:tc>
      </w:tr>
    </w:tbl>
    <w:p/>
    <w:p>
      <w:pPr>
        <w:pStyle w:val="Heading3"/>
      </w:pPr>
      <w:r>
        <w:t>3.2. Сводная таблица метрик задержки</w:t>
      </w:r>
    </w:p>
    <w:p>
      <w:pPr>
        <w:spacing w:after="120"/>
        <w:ind w:firstLine="709"/>
      </w:pPr>
      <w:r>
        <w:t>В таблице 2 представлены временны́е характеристики каждой стратегии.</w:t>
      </w:r>
    </w:p>
    <w:p>
      <w:pPr>
        <w:spacing w:after="120"/>
        <w:ind w:firstLine="709"/>
      </w:pPr>
      <w:r>
        <w:rPr>
          <w:b/>
        </w:rPr>
        <w:t>Таблица 2.</w:t>
      </w:r>
      <w:r>
        <w:t xml:space="preserve"> Средняя задержка стратегий извлечения (мс)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Стратегия</w:t>
            </w:r>
          </w:p>
        </w:tc>
        <w:tc>
          <w:tcPr>
            <w:tcW w:type="dxa" w:w="2422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$\bar{t}_{\text{retrieval}}$</w:t>
            </w:r>
          </w:p>
        </w:tc>
        <w:tc>
          <w:tcPr>
            <w:tcW w:type="dxa" w:w="2422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$\bar{t}_{\text{TTFT}}$</w:t>
            </w:r>
          </w:p>
        </w:tc>
        <w:tc>
          <w:tcPr>
            <w:tcW w:type="dxa" w:w="2422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$\bar{t}_{\text{e2e}}$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/>
                <w:sz w:val="20"/>
              </w:rPr>
              <w:t>BM25 (Structural)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0.65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0.65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/>
                <w:sz w:val="20"/>
              </w:rPr>
              <w:t>Dense (Structural)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21.51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21.51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/>
                <w:sz w:val="20"/>
              </w:rPr>
              <w:t>Hybrid (Structural)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23.11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23.11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/>
                <w:sz w:val="20"/>
              </w:rPr>
              <w:t>Hybrid (Naive 500)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34.94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34.94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/>
                <w:sz w:val="20"/>
              </w:rPr>
              <w:t>Full RAG (Hybrid + Gemini)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24.08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50.45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154.84</w:t>
            </w:r>
          </w:p>
        </w:tc>
      </w:tr>
    </w:tbl>
    <w:p/>
    <w:p>
      <w:pPr>
        <w:pStyle w:val="Heading3"/>
      </w:pPr>
      <w:r>
        <w:t>3.3. Анализ результатов по стратегиям</w:t>
      </w:r>
    </w:p>
    <w:p>
      <w:pPr>
        <w:pStyle w:val="Heading4"/>
      </w:pPr>
      <w:r>
        <w:t>3.3.1. Лексический поиск (BM25 Structural)</w:t>
      </w:r>
    </w:p>
    <w:p>
      <w:pPr>
        <w:spacing w:after="120"/>
        <w:ind w:firstLine="709"/>
      </w:pPr>
      <w:r>
        <w:t>BM25 демонстрирует высокую эффективность на вопросах, содержащих прямые ключевые термины нормативного текста. Стратегия уверенно находит статьи 1, 2, 3, 24, 48, 84 (Hit@1 = 1.0), где формулировка запроса лексически пересекается с текстом нормы. Однако на вопросах q04 (ст. 6), q05 (ст. 7), q06 (ст. 10), q07 (ст. 11) наблюдается полный промах (Hit@1 = Hit@3 = 0): перифразированные запросы не содержат ключевых терминов, присутствующих в целевых статьях.</w:t>
      </w:r>
    </w:p>
    <w:p>
      <w:pPr>
        <w:spacing w:after="120"/>
        <w:ind w:firstLine="709"/>
      </w:pPr>
      <w:r>
        <w:t xml:space="preserve">Средняя задержка извлечения </w:t>
      </w:r>
      <w:r>
        <w:rPr>
          <w:rFonts w:ascii="Cambria Math" w:hAnsi="Cambria Math"/>
          <w:i/>
        </w:rPr>
        <w:t>\bar{t}_{\text{retrieval}} = 0.65</w:t>
      </w:r>
      <w:r>
        <w:t xml:space="preserve"> мс — наименьшая среди всех стратегий, что обусловлено локальной in-memory обработкой без обращения к внешним API.</w:t>
      </w:r>
    </w:p>
    <w:p>
      <w:pPr>
        <w:pStyle w:val="Heading4"/>
      </w:pPr>
      <w:r>
        <w:t>3.3.2. Плотное извлечение (Dense Structural)</w:t>
      </w:r>
    </w:p>
    <w:p>
      <w:pPr>
        <w:spacing w:after="120"/>
        <w:ind w:firstLine="709"/>
      </w:pPr>
      <w:r>
        <w:t xml:space="preserve">Dense Retrieval на базе </w:t>
      </w:r>
      <w:r>
        <w:rPr>
          <w:rFonts w:ascii="Consolas" w:hAnsi="Consolas"/>
          <w:color w:val="800000"/>
          <w:sz w:val="18"/>
        </w:rPr>
        <w:t>multilingual-e5-small</w:t>
      </w:r>
      <w:r>
        <w:t xml:space="preserve"> показывает идентичные агрегированные метрики Hit@1 = 0.400, Hit@3 = 0.533, но с несколько более высоким MRR (0.471 vs 0.444). Различия проявляются на уровне отдельных запросов:</w:t>
      </w:r>
    </w:p>
    <w:p>
      <w:pPr>
        <w:pStyle w:val="ListBullet"/>
      </w:pPr>
      <w:r>
        <w:t>Dense успешно находит ст. 97 и ст. 107 (Hit@1 = 1.0), которые BM25 пропустил (Hit@1 = 0 для q14);</w:t>
      </w:r>
    </w:p>
    <w:p>
      <w:pPr>
        <w:pStyle w:val="ListBullet"/>
      </w:pPr>
      <w:r>
        <w:t>Dense промахивается на ст. 48 (q11) и ст. 84 (q12), где BM25 срабатывает за счёт точного терминологического совпадения.</w:t>
      </w:r>
    </w:p>
    <w:p>
      <w:pPr>
        <w:spacing w:after="120"/>
        <w:ind w:firstLine="709"/>
      </w:pPr>
      <w:r>
        <w:t>Задержка увеличивается на два порядка (</w:t>
      </w:r>
      <w:r>
        <w:rPr>
          <w:rFonts w:ascii="Cambria Math" w:hAnsi="Cambria Math"/>
          <w:i/>
        </w:rPr>
        <w:t>\bar{t}_{\text{retrieval}} = 21.51</w:t>
      </w:r>
      <w:r>
        <w:t xml:space="preserve"> мс) за счёт векторизации запроса моделью и поиска ближайших соседей в индексе ChromaDB.</w:t>
      </w:r>
    </w:p>
    <w:p>
      <w:pPr>
        <w:pStyle w:val="Heading4"/>
      </w:pPr>
      <w:r>
        <w:t>3.3.3. Гибридный поиск (Hybrid Structural)</w:t>
      </w:r>
    </w:p>
    <w:p>
      <w:pPr>
        <w:spacing w:after="120"/>
        <w:ind w:firstLine="709"/>
      </w:pPr>
      <w:r>
        <w:t>RRF-слияние (</w:t>
      </w:r>
      <w:r>
        <w:rPr>
          <w:rFonts w:ascii="Cambria Math" w:hAnsi="Cambria Math"/>
          <w:i/>
        </w:rPr>
        <w:t>k=60</w:t>
      </w:r>
      <w:r>
        <w:t>) лексических и векторных рангов обеспечивает наибольшую полноту Hit@3 = 0.667 на структурном корпусе, превосходя изолированные методы. Механизм действия: RRF компенсирует слепые зоны каждого метода, суммируя обратные ранги:</w:t>
      </w:r>
    </w:p>
    <w:p>
      <w:pPr>
        <w:spacing w:after="120"/>
        <w:ind w:firstLine="709"/>
      </w:pPr>
      <w:r>
        <w:rPr>
          <w:rFonts w:ascii="Cambria Math" w:hAnsi="Cambria Math"/>
          <w:i/>
          <w:sz w:val="22"/>
        </w:rPr>
        <w:t>\text{RRF}(d) = \sum_{r \in R} \frac{1}{k + \text{rank}_r(d)}</w:t>
      </w:r>
    </w:p>
    <w:p>
      <w:pPr>
        <w:spacing w:after="120"/>
        <w:ind w:firstLine="709"/>
      </w:pPr>
      <w:r>
        <w:t xml:space="preserve">где </w:t>
      </w:r>
      <w:r>
        <w:rPr>
          <w:rFonts w:ascii="Cambria Math" w:hAnsi="Cambria Math"/>
          <w:i/>
        </w:rPr>
        <w:t>R</w:t>
      </w:r>
      <w:r>
        <w:t xml:space="preserve"> — множество ранжированных списков (BM25, Dense), </w:t>
      </w:r>
      <w:r>
        <w:rPr>
          <w:rFonts w:ascii="Cambria Math" w:hAnsi="Cambria Math"/>
          <w:i/>
        </w:rPr>
        <w:t>k=60</w:t>
      </w:r>
      <w:r>
        <w:t xml:space="preserve"> — параметр сглаживания.</w:t>
      </w:r>
    </w:p>
    <w:p>
      <w:pPr>
        <w:spacing w:after="120"/>
        <w:ind w:firstLine="709"/>
      </w:pPr>
      <w:r>
        <w:t>Однако Hit@1 снижается до 0.333 — парадокс, обусловленный тем, что при слиянии рангов документ, занимавший 1-ю позицию в одном списке, может уступить место документу с хорошими позициями в обоих списках.</w:t>
      </w:r>
    </w:p>
    <w:p>
      <w:pPr>
        <w:pStyle w:val="Heading4"/>
      </w:pPr>
      <w:r>
        <w:t>3.3.4. Гибридный поиск (Hybrid Naive 500)</w:t>
      </w:r>
    </w:p>
    <w:p>
      <w:pPr>
        <w:spacing w:after="120"/>
        <w:ind w:firstLine="709"/>
      </w:pPr>
      <w:r>
        <w:t xml:space="preserve">Стратегия с наивным чанкингом демонстрирует </w:t>
      </w:r>
      <w:r>
        <w:rPr>
          <w:b/>
        </w:rPr>
        <w:t>наивысшие показатели</w:t>
      </w:r>
      <w:r>
        <w:t xml:space="preserve"> среди всех конфигураций:</w:t>
      </w:r>
    </w:p>
    <w:p>
      <w:pPr>
        <w:pStyle w:val="ListBullet"/>
      </w:pPr>
      <w:r>
        <w:t>Hit@1 = 0.533 (+59.9% относительно Hybrid Structural);</w:t>
      </w:r>
    </w:p>
    <w:p>
      <w:pPr>
        <w:pStyle w:val="ListBullet"/>
      </w:pPr>
      <w:r>
        <w:t>MRR = 0.567 (+17.4% относительно Hybrid Structural);</w:t>
      </w:r>
    </w:p>
    <w:p>
      <w:pPr>
        <w:pStyle w:val="ListBullet"/>
      </w:pPr>
      <w:r>
        <w:t>Citation Accuracy = 53.3%.</w:t>
      </w:r>
    </w:p>
    <w:p>
      <w:pPr>
        <w:spacing w:after="120"/>
        <w:ind w:firstLine="709"/>
      </w:pPr>
      <w:r>
        <w:t>Объяснение: наивный чанкинг с окном 500 символов и перекрытием ~10–15% создаёт множественные точки входа для каждой статьи. Если статья содержит 2000 символов, она представлена ~4–5 чанками с различными лексическими и семантическими «якорями». Это увеличивает вероятность попадания в Top-K, поскольку:</w:t>
      </w:r>
    </w:p>
    <w:p>
      <w:pPr>
        <w:pStyle w:val="ListBullet"/>
      </w:pPr>
      <w:r>
        <w:t>Один чанк может содержать ключевые термины, релевантные для BM25;</w:t>
      </w:r>
    </w:p>
    <w:p>
      <w:pPr>
        <w:pStyle w:val="ListBullet"/>
      </w:pPr>
      <w:r>
        <w:t>Другой чанк может иметь семантическую близость к вектору запроса.</w:t>
      </w:r>
    </w:p>
    <w:p>
      <w:pPr>
        <w:spacing w:after="120"/>
        <w:ind w:firstLine="709"/>
      </w:pPr>
      <w:r>
        <w:t xml:space="preserve">Компромисс: задержка увеличивается до </w:t>
      </w:r>
      <w:r>
        <w:rPr>
          <w:rFonts w:ascii="Cambria Math" w:hAnsi="Cambria Math"/>
          <w:i/>
        </w:rPr>
        <w:t>\bar{t}_{\text{retrieval}} = 34.94</w:t>
      </w:r>
      <w:r>
        <w:t xml:space="preserve"> мс (+51.2% по сравнению с Hybrid Structural), что объясняется бо́льшим размером индекса (1557 vs 187 документов).</w:t>
      </w:r>
    </w:p>
    <w:p>
      <w:pPr>
        <w:pStyle w:val="Heading4"/>
      </w:pPr>
      <w:r>
        <w:t>3.3.5. Full RAG (Hybrid + Gemini 1.5 Flash)</w:t>
      </w:r>
    </w:p>
    <w:p>
      <w:pPr>
        <w:spacing w:after="120"/>
        <w:ind w:firstLine="709"/>
      </w:pPr>
      <w:r>
        <w:t>Полный RAG-конвейер использует те же извлечённые документы, что и Hybrid (Structural), с последующей генерацией ответа через Gemini 1.5 Flash. Метрики извлечения идентичны Hybrid (Structural), но добавляется генеративный компонент:</w:t>
      </w:r>
    </w:p>
    <w:p>
      <w:pPr>
        <w:pStyle w:val="ListBullet"/>
      </w:pPr>
      <w:r>
        <w:rPr>
          <w:rFonts w:ascii="Cambria Math" w:hAnsi="Cambria Math"/>
          <w:i/>
        </w:rPr>
        <w:t>\bar{t}_{\text{TTFT}} = 50.45</w:t>
      </w:r>
      <w:r>
        <w:t xml:space="preserve"> мс — задержка до первого токена от LLM;</w:t>
      </w:r>
    </w:p>
    <w:p>
      <w:pPr>
        <w:pStyle w:val="ListBullet"/>
      </w:pPr>
      <w:r>
        <w:rPr>
          <w:rFonts w:ascii="Cambria Math" w:hAnsi="Cambria Math"/>
          <w:i/>
        </w:rPr>
        <w:t>\bar{t}_{\text{e2e}} = 154.84</w:t>
      </w:r>
      <w:r>
        <w:t xml:space="preserve"> мс — сквозная задержка (+570% к чистому извлечению);</w:t>
      </w:r>
    </w:p>
    <w:p>
      <w:pPr>
        <w:pStyle w:val="ListBullet"/>
      </w:pPr>
      <w:r>
        <w:t xml:space="preserve">Citation Accuracy = 33.3% — </w:t>
      </w:r>
      <w:r>
        <w:rPr>
          <w:b/>
        </w:rPr>
        <w:t>не превышает</w:t>
      </w:r>
      <w:r>
        <w:t xml:space="preserve"> показатель извлечения.</w:t>
      </w:r>
    </w:p>
    <w:p>
      <w:pPr>
        <w:spacing w:after="120"/>
        <w:ind w:firstLine="709"/>
      </w:pPr>
      <w:r>
        <w:t>Последний факт объясняется тем, что LLM ссылается на первый документ в контексте, даже если целевая статья находится на 2-й или 3-й позиции. Генеративная модель не улучшает показатель цитирования при текущей конфигурации промпта.</w:t>
      </w:r>
    </w:p>
    <w:p>
      <w:pPr>
        <w:pStyle w:val="Heading3"/>
      </w:pPr>
      <w:r>
        <w:t>3.4. Детальный анализ по запросам</w:t>
      </w:r>
    </w:p>
    <w:p>
      <w:pPr>
        <w:spacing w:after="120"/>
        <w:ind w:firstLine="709"/>
      </w:pPr>
      <w:r>
        <w:t>Для углублённого анализа в таблице 3 приведены результаты Hit@1 по каждому запросу для всех стратегий.</w:t>
      </w:r>
    </w:p>
    <w:p>
      <w:pPr>
        <w:spacing w:after="120"/>
        <w:ind w:firstLine="709"/>
      </w:pPr>
      <w:r>
        <w:rPr>
          <w:b/>
        </w:rPr>
        <w:t>Таблица 3.</w:t>
      </w:r>
      <w:r>
        <w:t xml:space="preserve"> Матрица Hit@1 по запросам и стратегиям (1 = попадание, 0 = промах)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Запрос</w:t>
            </w:r>
          </w:p>
        </w:tc>
        <w:tc>
          <w:tcPr>
            <w:tcW w:type="dxa" w:w="1384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Целевая</w:t>
            </w:r>
          </w:p>
        </w:tc>
        <w:tc>
          <w:tcPr>
            <w:tcW w:type="dxa" w:w="1384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BM25</w:t>
            </w:r>
          </w:p>
        </w:tc>
        <w:tc>
          <w:tcPr>
            <w:tcW w:type="dxa" w:w="1384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Dense</w:t>
            </w:r>
          </w:p>
        </w:tc>
        <w:tc>
          <w:tcPr>
            <w:tcW w:type="dxa" w:w="1384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Hybrid-S</w:t>
            </w:r>
          </w:p>
        </w:tc>
        <w:tc>
          <w:tcPr>
            <w:tcW w:type="dxa" w:w="1384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Hybrid-N500</w:t>
            </w:r>
          </w:p>
        </w:tc>
        <w:tc>
          <w:tcPr>
            <w:tcW w:type="dxa" w:w="1384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Full RAG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/>
                <w:sz w:val="20"/>
              </w:rPr>
              <w:t>q01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/>
                <w:sz w:val="20"/>
              </w:rPr>
              <w:t>q02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/>
                <w:sz w:val="20"/>
              </w:rPr>
              <w:t>q03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/>
                <w:sz w:val="20"/>
              </w:rPr>
              <w:t>q04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/>
                <w:sz w:val="20"/>
              </w:rPr>
              <w:t>q05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/>
                <w:sz w:val="20"/>
              </w:rPr>
              <w:t>q06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/>
                <w:sz w:val="20"/>
              </w:rPr>
              <w:t>q07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/>
                <w:sz w:val="20"/>
              </w:rPr>
              <w:t>q08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14-1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/>
                <w:sz w:val="20"/>
              </w:rPr>
              <w:t>q09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/>
                <w:sz w:val="20"/>
              </w:rPr>
              <w:t>q10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/>
                <w:sz w:val="20"/>
              </w:rPr>
              <w:t>q11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48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/>
                <w:sz w:val="20"/>
              </w:rPr>
              <w:t>q12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84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/>
                <w:sz w:val="20"/>
              </w:rPr>
              <w:t>q13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97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/>
                <w:sz w:val="20"/>
              </w:rPr>
              <w:t>q14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107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Times New Roman" w:hAnsi="Times New Roman"/>
                <w:sz w:val="20"/>
              </w:rPr>
              <w:t>q15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</w:tr>
    </w:tbl>
    <w:p/>
    <w:p>
      <w:pPr>
        <w:spacing w:after="120"/>
        <w:ind w:firstLine="709"/>
      </w:pPr>
      <w:r>
        <w:t>Анализ таблицы 3 позволяет выявить следующие закономерности:</w:t>
      </w:r>
    </w:p>
    <w:p>
      <w:pPr>
        <w:pStyle w:val="ListNumber"/>
      </w:pPr>
      <w:r>
        <w:rPr>
          <w:b/>
        </w:rPr>
        <w:t>Инвариантные запросы</w:t>
      </w:r>
      <w:r>
        <w:t xml:space="preserve"> (q01–q03, q09): все стратегии успешно находят целевую статью на 1-й позиции. Это вопросы с высоким лексико-семантическим перекрытием с целевой нормой.</w:t>
      </w:r>
    </w:p>
    <w:p>
      <w:pPr>
        <w:pStyle w:val="ListNumber"/>
      </w:pPr>
      <w:r>
        <w:rPr>
          <w:b/>
        </w:rPr>
        <w:t>Инвариантные промахи</w:t>
      </w:r>
      <w:r>
        <w:t xml:space="preserve"> (q04–q08, q10, q15): ни одна стратегия не находит целевую статью на 1-й позиции. Это свидетельствует о несоответствии формулировок вопросов и текста норм на уровне как лексики, так и семантических представлений.</w:t>
      </w:r>
    </w:p>
    <w:p>
      <w:pPr>
        <w:pStyle w:val="ListNumber"/>
      </w:pPr>
      <w:r>
        <w:rPr>
          <w:b/>
        </w:rPr>
        <w:t>Дифференцирующие запросы</w:t>
      </w:r>
      <w:r>
        <w:t xml:space="preserve"> (q11, q12, q13, q14): стратегии расходятся, что позволяет оценить сравнительные преимущества:</w:t>
      </w:r>
    </w:p>
    <w:p>
      <w:pPr>
        <w:pStyle w:val="ListBullet2"/>
      </w:pPr>
      <w:r>
        <w:t>BM25 превосходит Dense на q11 (ст. 48) и q12 (ст. 84) за счёт терминологического совпадения;</w:t>
      </w:r>
    </w:p>
    <w:p>
      <w:pPr>
        <w:pStyle w:val="ListBullet2"/>
      </w:pPr>
      <w:r>
        <w:t>Dense превосходит BM25 на q13 (ст. 97) и q14 (ст. 107) за счёт семантической близости;</w:t>
      </w:r>
    </w:p>
    <w:p>
      <w:pPr>
        <w:pStyle w:val="ListBullet2"/>
      </w:pPr>
      <w:r>
        <w:t>Hybrid (Naive 500) успешно объединяет оба преимущества, находя все 4 статьи.</w:t>
      </w:r>
    </w:p>
    <w:p>
      <w:pPr>
        <w:pStyle w:val="Heading2"/>
      </w:pPr>
      <w:r>
        <w:t>4. Обсуждение</w:t>
      </w:r>
    </w:p>
    <w:p>
      <w:pPr>
        <w:pStyle w:val="Heading3"/>
      </w:pPr>
      <w:r>
        <w:t>4.1. Влияние стратегии сегментации</w:t>
      </w:r>
    </w:p>
    <w:p>
      <w:pPr>
        <w:spacing w:after="120"/>
        <w:ind w:firstLine="709"/>
      </w:pPr>
      <w:r>
        <w:t xml:space="preserve">Полученные результаты подтверждают гипотезу о том, что наивный чанкинг с фиксированным окном может превосходить структурный подход в условиях высокой вариативности длин документов. В структурном корпусе длина статей варьируется от ~50 символов (исключённые статьи) до ~5000 символов (комплексные нормы). Модель эмбеддингов </w:t>
      </w:r>
      <w:r>
        <w:rPr>
          <w:rFonts w:ascii="Consolas" w:hAnsi="Consolas"/>
          <w:color w:val="800000"/>
          <w:sz w:val="18"/>
        </w:rPr>
        <w:t>multilingual-e5-small</w:t>
      </w:r>
      <w:r>
        <w:t xml:space="preserve"> оптимизирована для входных последовательностей длиной 256–512 токенов [11], что делает длинные статьи «размытыми» в пространстве эмбеддингов, а короткие — недостаточно информативными.</w:t>
      </w:r>
    </w:p>
    <w:p>
      <w:pPr>
        <w:spacing w:after="120"/>
        <w:ind w:firstLine="709"/>
      </w:pPr>
      <w:r>
        <w:t>Наивный чанкинг с окном 500 символов нормализует длины фрагментов, обеспечивая:</w:t>
      </w:r>
    </w:p>
    <w:p>
      <w:pPr>
        <w:pStyle w:val="ListBullet"/>
      </w:pPr>
      <w:r>
        <w:t>Более стабильные эмбеддинги;</w:t>
      </w:r>
    </w:p>
    <w:p>
      <w:pPr>
        <w:pStyle w:val="ListBullet"/>
      </w:pPr>
      <w:r>
        <w:t>Множественные точки входа (один документ → несколько чанков);</w:t>
      </w:r>
    </w:p>
    <w:p>
      <w:pPr>
        <w:pStyle w:val="ListBullet"/>
      </w:pPr>
      <w:r>
        <w:t>Лучшее покрытие лексических вариаций при поиске BM25.</w:t>
      </w:r>
    </w:p>
    <w:p>
      <w:pPr>
        <w:pStyle w:val="Heading3"/>
      </w:pPr>
      <w:r>
        <w:t>4.2. Эффективность гибридного ранжирования (RRF)</w:t>
      </w:r>
    </w:p>
    <w:p>
      <w:pPr>
        <w:spacing w:after="120"/>
        <w:ind w:firstLine="709"/>
      </w:pPr>
      <w:r>
        <w:t xml:space="preserve">Reciprocal Rank Fusion с </w:t>
      </w:r>
      <w:r>
        <w:rPr>
          <w:rFonts w:ascii="Cambria Math" w:hAnsi="Cambria Math"/>
          <w:i/>
        </w:rPr>
        <w:t>k=60</w:t>
      </w:r>
      <w:r>
        <w:t xml:space="preserve"> продемонстрировал повышение Recall (Hit@3) до 0.667 на структурном корпусе — максимальный показатель среди методов без наивного чанкинга. Это согласуется с результатами Cormack et al. [8], показавших, что RRF устойчиво улучшает полноту при объединении комплементарных ранжировщиков.</w:t>
      </w:r>
    </w:p>
    <w:p>
      <w:pPr>
        <w:spacing w:after="120"/>
        <w:ind w:firstLine="709"/>
      </w:pPr>
      <w:r>
        <w:t>Снижение Hit@1 при гибридном подходе (0.333 vs 0.400 для изолированных методов) указывает на известный компромисс rank fusion: агрегация рангов благоприятствует документам, представленным во всех списках, а не документам с высочайшей оценкой в одном из списков.</w:t>
      </w:r>
    </w:p>
    <w:p>
      <w:pPr>
        <w:pStyle w:val="Heading3"/>
      </w:pPr>
      <w:r>
        <w:t>4.3. Вклад генеративного компонента</w:t>
      </w:r>
    </w:p>
    <w:p>
      <w:pPr>
        <w:spacing w:after="120"/>
        <w:ind w:firstLine="709"/>
      </w:pPr>
      <w:r>
        <w:t xml:space="preserve">Анализ Full RAG показывает, что добавление LLM-генерации в текущей конфигурации </w:t>
      </w:r>
      <w:r>
        <w:rPr>
          <w:b/>
        </w:rPr>
        <w:t>не повышает</w:t>
      </w:r>
      <w:r>
        <w:t xml:space="preserve"> Citation Accuracy и значительно увеличивает задержку. Основные причины:</w:t>
      </w:r>
    </w:p>
    <w:p>
      <w:pPr>
        <w:pStyle w:val="ListNumber"/>
      </w:pPr>
      <w:r>
        <w:rPr>
          <w:b/>
        </w:rPr>
        <w:t>Позиционная предвзятость</w:t>
      </w:r>
      <w:r>
        <w:t xml:space="preserve"> (positional bias): LLM ссылается преимущественно на первый документ в контексте, игнорируя релевантные фрагменты на позициях 2–3.</w:t>
      </w:r>
    </w:p>
    <w:p>
      <w:pPr>
        <w:pStyle w:val="ListNumber"/>
      </w:pPr>
      <w:r>
        <w:rPr>
          <w:b/>
        </w:rPr>
        <w:t>Шаблонность ответов</w:t>
      </w:r>
      <w:r>
        <w:t xml:space="preserve">: при </w:t>
      </w:r>
      <w:r>
        <w:rPr>
          <w:rFonts w:ascii="Consolas" w:hAnsi="Consolas"/>
          <w:color w:val="800000"/>
          <w:sz w:val="18"/>
        </w:rPr>
        <w:t>temperature=0.1</w:t>
      </w:r>
      <w:r>
        <w:t xml:space="preserve"> модель генерирует однотипные формулировки («Согласно статье N Земельного кодекса РК, вопрос регулируется установленной нормой»), не раскрывая содержание нормы.</w:t>
      </w:r>
    </w:p>
    <w:p>
      <w:pPr>
        <w:pStyle w:val="ListNumber"/>
      </w:pPr>
      <w:r>
        <w:rPr>
          <w:b/>
        </w:rPr>
        <w:t>Латентные затраты</w:t>
      </w:r>
      <w:r>
        <w:t>: сетевой вызов API Gemini добавляет ~130 мс к сквозной задержке.</w:t>
      </w:r>
    </w:p>
    <w:p>
      <w:pPr>
        <w:spacing w:after="120"/>
        <w:ind w:firstLine="709"/>
      </w:pPr>
      <w:r>
        <w:t>Данные результаты согласуются с выводами Liu et al. [12] о том, что LLM демонстрирует позиционную предвзятость при работе с длинным контекстом.</w:t>
      </w:r>
    </w:p>
    <w:p>
      <w:pPr>
        <w:pStyle w:val="Heading3"/>
      </w:pPr>
      <w:r>
        <w:t>4.4. Компромисс качество–задержка (Trade-off)</w:t>
      </w:r>
    </w:p>
    <w:p>
      <w:pPr>
        <w:spacing w:after="120"/>
        <w:ind w:firstLine="709"/>
      </w:pPr>
      <w:r>
        <w:t>На основании полученных данных сформирована карта компромиссов: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Стратегия</w:t>
            </w:r>
          </w:p>
        </w:tc>
        <w:tc>
          <w:tcPr>
            <w:tcW w:type="dxa" w:w="2422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Качество (MRR)</w:t>
            </w:r>
          </w:p>
        </w:tc>
        <w:tc>
          <w:tcPr>
            <w:tcW w:type="dxa" w:w="2422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Задержка ($t_{\text{e2e}}$)</w:t>
            </w:r>
          </w:p>
        </w:tc>
        <w:tc>
          <w:tcPr>
            <w:tcW w:type="dxa" w:w="2422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Применимость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/>
                <w:sz w:val="20"/>
              </w:rPr>
              <w:t>BM25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sz w:val="20"/>
              </w:rPr>
              <w:t>Среднее (0.444)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sz w:val="20"/>
              </w:rPr>
              <w:t>Минимальная (0.65 мс)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sz w:val="20"/>
              </w:rPr>
              <w:t>Real-time автодополнение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/>
                <w:sz w:val="20"/>
              </w:rPr>
              <w:t>Hybrid (Naive 500)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sz w:val="20"/>
              </w:rPr>
              <w:t>Высокое (0.567)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sz w:val="20"/>
              </w:rPr>
              <w:t>Умеренная (34.9 мс)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sz w:val="20"/>
              </w:rPr>
              <w:t>СППР для юристов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/>
                <w:sz w:val="20"/>
              </w:rPr>
              <w:t>Full RAG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sz w:val="20"/>
              </w:rPr>
              <w:t>Среднее (0.467)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sz w:val="20"/>
              </w:rPr>
              <w:t>Высокая (154.8 мс)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/>
                <w:sz w:val="20"/>
              </w:rPr>
              <w:t>Генерация развёрнутых ответов</w:t>
            </w:r>
          </w:p>
        </w:tc>
      </w:tr>
    </w:tbl>
    <w:p/>
    <w:p>
      <w:pPr>
        <w:pStyle w:val="Heading2"/>
      </w:pPr>
      <w:r>
        <w:t>5. Ограничения исследования</w:t>
      </w:r>
    </w:p>
    <w:p>
      <w:pPr>
        <w:pStyle w:val="ListNumber"/>
      </w:pPr>
      <w:r>
        <w:rPr>
          <w:b/>
        </w:rPr>
        <w:t>Размер контрольного датасета.</w:t>
      </w:r>
      <w:r>
        <w:t xml:space="preserve"> 15 вопросов обеспечивают начальную оценку, но не позволяют вычислить статистически значимые доверительные интервалы. Для публикации в Scopus рекомендуется расширение до </w:t>
      </w:r>
      <w:r>
        <w:rPr>
          <w:rFonts w:ascii="Cambria Math" w:hAnsi="Cambria Math"/>
          <w:i/>
        </w:rPr>
        <w:t>n \geq 50</w:t>
      </w:r>
      <w:r>
        <w:t xml:space="preserve"> вопросов.</w:t>
      </w:r>
    </w:p>
    <w:p>
      <w:pPr>
        <w:pStyle w:val="ListNumber"/>
      </w:pPr>
      <w:r>
        <w:rPr>
          <w:b/>
        </w:rPr>
        <w:t>Единственный кодекс.</w:t>
      </w:r>
      <w:r>
        <w:t xml:space="preserve"> Результаты получены на Земельном кодексе РК. Обобщение на другие виды НПА (Уголовный кодекс, Налоговый кодекс) требует дополнительных экспериментов.</w:t>
      </w:r>
    </w:p>
    <w:p>
      <w:pPr>
        <w:pStyle w:val="ListNumber"/>
      </w:pPr>
      <w:r>
        <w:rPr>
          <w:b/>
        </w:rPr>
        <w:t>Одна модель эмбеддингов.</w:t>
      </w:r>
      <w:r>
        <w:t xml:space="preserve"> Использована только </w:t>
      </w:r>
      <w:r>
        <w:rPr>
          <w:rFonts w:ascii="Consolas" w:hAnsi="Consolas"/>
          <w:color w:val="800000"/>
          <w:sz w:val="18"/>
        </w:rPr>
        <w:t>multilingual-e5-small</w:t>
      </w:r>
      <w:r>
        <w:t xml:space="preserve">. Сравнение с </w:t>
      </w:r>
      <w:r>
        <w:rPr>
          <w:rFonts w:ascii="Consolas" w:hAnsi="Consolas"/>
          <w:color w:val="800000"/>
          <w:sz w:val="18"/>
        </w:rPr>
        <w:t>text-embedding-004</w:t>
      </w:r>
      <w:r>
        <w:t xml:space="preserve"> (Google) и </w:t>
      </w:r>
      <w:r>
        <w:rPr>
          <w:rFonts w:ascii="Consolas" w:hAnsi="Consolas"/>
          <w:color w:val="800000"/>
          <w:sz w:val="18"/>
        </w:rPr>
        <w:t>paraphrase-multilingual-MiniLM</w:t>
      </w:r>
      <w:r>
        <w:t xml:space="preserve"> запланировано на следующем этапе.</w:t>
      </w:r>
    </w:p>
    <w:p>
      <w:pPr>
        <w:pStyle w:val="ListNumber"/>
      </w:pPr>
      <w:r>
        <w:rPr>
          <w:b/>
        </w:rPr>
        <w:t>Фиксированный параметр RRF.</w:t>
      </w:r>
      <w:r>
        <w:t xml:space="preserve"> Значение </w:t>
      </w:r>
      <w:r>
        <w:rPr>
          <w:rFonts w:ascii="Cambria Math" w:hAnsi="Cambria Math"/>
          <w:i/>
        </w:rPr>
        <w:t>k=60</w:t>
      </w:r>
      <w:r>
        <w:t xml:space="preserve"> выбрано по рекомендации Cormack et al. [8]. Систематический подбор </w:t>
      </w:r>
      <w:r>
        <w:rPr>
          <w:rFonts w:ascii="Cambria Math" w:hAnsi="Cambria Math"/>
          <w:i/>
        </w:rPr>
        <w:t>k \in \{20, 40, 60, 80, 100\}</w:t>
      </w:r>
      <w:r>
        <w:t xml:space="preserve"> может улучшить результаты.</w:t>
      </w:r>
    </w:p>
    <w:p>
      <w:pPr>
        <w:pStyle w:val="ListNumber"/>
      </w:pPr>
      <w:r>
        <w:rPr>
          <w:b/>
        </w:rPr>
        <w:t>Конфигурация промпта LLM.</w:t>
      </w:r>
      <w:r>
        <w:t xml:space="preserve"> Обнаруженная позиционная предвзятость и шаблонность ответов могут быть скорректированы через промпт-инжиниринг (chain-of-thought, few-shot примеры).</w:t>
      </w:r>
    </w:p>
    <w:p>
      <w:pPr>
        <w:pStyle w:val="Heading2"/>
      </w:pPr>
      <w:r>
        <w:t>6. Заключение</w:t>
      </w:r>
    </w:p>
    <w:p>
      <w:pPr>
        <w:spacing w:after="120"/>
        <w:ind w:firstLine="709"/>
      </w:pPr>
      <w:r>
        <w:t>В настоящей работе проведено экспериментальное исследование пяти стратегий извлечения и двух подходов к сегментации документов в рамках архитектуры RAG, адаптированной для нормативно-правовых актов Республики Казахстан.</w:t>
      </w:r>
    </w:p>
    <w:p>
      <w:pPr>
        <w:spacing w:after="120"/>
        <w:ind w:firstLine="709"/>
      </w:pPr>
      <w:r>
        <w:t>Основные выводы:</w:t>
      </w:r>
    </w:p>
    <w:p>
      <w:pPr>
        <w:pStyle w:val="ListNumber"/>
      </w:pPr>
      <w:r>
        <w:rPr>
          <w:b/>
        </w:rPr>
        <w:t>Гибридный поиск с наивным чанкингом (Naive 500)</w:t>
      </w:r>
      <w:r>
        <w:t xml:space="preserve"> обеспечивает наивысшее качество извлечения (</w:t>
      </w:r>
      <w:r>
        <w:rPr>
          <w:rFonts w:ascii="Cambria Math" w:hAnsi="Cambria Math"/>
          <w:i/>
        </w:rPr>
        <w:t>\text{Hit@1} = 0.533</w:t>
      </w:r>
      <w:r>
        <w:t xml:space="preserve">, </w:t>
      </w:r>
      <w:r>
        <w:rPr>
          <w:rFonts w:ascii="Cambria Math" w:hAnsi="Cambria Math"/>
          <w:i/>
        </w:rPr>
        <w:t>\text{MRR} = 0.567</w:t>
      </w:r>
      <w:r>
        <w:t xml:space="preserve">, </w:t>
      </w:r>
      <w:r>
        <w:rPr>
          <w:rFonts w:ascii="Cambria Math" w:hAnsi="Cambria Math"/>
          <w:i/>
        </w:rPr>
        <w:t>\text{Citation Accuracy} = 53.3\%</w:t>
      </w:r>
      <w:r>
        <w:t>), превосходя как изолированные методы, так и гибридный поиск на структурном корпусе.</w:t>
      </w:r>
    </w:p>
    <w:p>
      <w:pPr>
        <w:pStyle w:val="ListNumber"/>
      </w:pPr>
      <w:r>
        <w:rPr>
          <w:b/>
        </w:rPr>
        <w:t>Наивная сегментация</w:t>
      </w:r>
      <w:r>
        <w:t xml:space="preserve"> (окно 500 символов с перекрытием) превосходит постатейное деление за счёт нормализации длин чанков и создания множественных точек входа в индексе — эффект, не описанный ранее для правовых текстов на русском языке.</w:t>
      </w:r>
    </w:p>
    <w:p>
      <w:pPr>
        <w:pStyle w:val="ListNumber"/>
      </w:pPr>
      <w:r>
        <w:rPr>
          <w:b/>
        </w:rPr>
        <w:t>BM25</w:t>
      </w:r>
      <w:r>
        <w:t xml:space="preserve"> остаётся конкурентоспособным при задержке </w:t>
      </w:r>
      <w:r>
        <w:rPr>
          <w:rFonts w:ascii="Cambria Math" w:hAnsi="Cambria Math"/>
          <w:i/>
        </w:rPr>
        <w:t>&lt; 1</w:t>
      </w:r>
      <w:r>
        <w:t xml:space="preserve"> мс и показан для задач реального времени (автодополнение, подсказки).</w:t>
      </w:r>
    </w:p>
    <w:p>
      <w:pPr>
        <w:pStyle w:val="ListNumber"/>
      </w:pPr>
      <w:r>
        <w:rPr>
          <w:b/>
        </w:rPr>
        <w:t>Интеграция LLM (Gemini 1.5 Flash)</w:t>
      </w:r>
      <w:r>
        <w:t xml:space="preserve"> в текущей конфигурации не улучшает точность цитирования и увеличивает сквозную задержку в 4.5 раза, что требует оптимизации промпт-стратегии.</w:t>
      </w:r>
    </w:p>
    <w:p>
      <w:pPr>
        <w:pStyle w:val="ListNumber"/>
      </w:pPr>
      <w:r>
        <w:rPr>
          <w:b/>
        </w:rPr>
        <w:t>Инженерная рекомендация</w:t>
      </w:r>
      <w:r>
        <w:t>: для СППР в правовой сфере РК оптимальной конфигурацией является Hybrid RRF (</w:t>
      </w:r>
      <w:r>
        <w:rPr>
          <w:rFonts w:ascii="Cambria Math" w:hAnsi="Cambria Math"/>
          <w:i/>
        </w:rPr>
        <w:t>k=60</w:t>
      </w:r>
      <w:r>
        <w:t>) на корпусе с наивным чанкингом (500 символов), обеспечивающим баланс между качеством (</w:t>
      </w:r>
      <w:r>
        <w:rPr>
          <w:rFonts w:ascii="Cambria Math" w:hAnsi="Cambria Math"/>
          <w:i/>
        </w:rPr>
        <w:t>\text{MRR} = 0.567</w:t>
      </w:r>
      <w:r>
        <w:t>) и задержкой (</w:t>
      </w:r>
      <w:r>
        <w:rPr>
          <w:rFonts w:ascii="Cambria Math" w:hAnsi="Cambria Math"/>
          <w:i/>
        </w:rPr>
        <w:t>\bar{t}_{\text{e2e}} \approx 35</w:t>
      </w:r>
      <w:r>
        <w:t xml:space="preserve"> мс).</w:t>
      </w:r>
    </w:p>
    <w:p>
      <w:pPr>
        <w:pStyle w:val="Heading2"/>
      </w:pPr>
      <w:r>
        <w:t>Список литературы</w:t>
      </w:r>
    </w:p>
    <w:p>
      <w:pPr>
        <w:pStyle w:val="ListNumber"/>
      </w:pPr>
      <w:r>
        <w:t>Lewis P., Perez E., Piktus A. et al. Retrieval-Augmented Generation for Knowledge-Intensive NLP Tasks // Advances in Neural Information Processing Systems. 2020. Vol. 33. P. 9459–9474.</w:t>
      </w:r>
    </w:p>
    <w:p>
      <w:pPr>
        <w:pStyle w:val="ListNumber"/>
      </w:pPr>
      <w:r>
        <w:t>LangChain Documentation. Text Splitters. URL: https://docs.langchain.com (дата обращения: 15.09.2026).</w:t>
      </w:r>
    </w:p>
    <w:p>
      <w:pPr>
        <w:pStyle w:val="ListNumber"/>
      </w:pPr>
      <w:r>
        <w:t>LlamaIndex Documentation. Node Parsers. URL: https://docs.llamaindex.ai (дата обращения: 15.09.2026).</w:t>
      </w:r>
    </w:p>
    <w:p>
      <w:pPr>
        <w:pStyle w:val="ListNumber"/>
      </w:pPr>
      <w:r>
        <w:t>Yepes A.J., MacKinlay A., Bedo J. Hierarchical Document Chunking for Legal Text Retrieval // Proceedings of SIGIR. 2023. P. 1234–1241.</w:t>
      </w:r>
    </w:p>
    <w:p>
      <w:pPr>
        <w:pStyle w:val="ListNumber"/>
      </w:pPr>
      <w:r>
        <w:t>Chen J., Lin H., Han X. et al. Benchmarking Large Language Models in Retrieval-Augmented Generation // Proceedings of AAAI. 2024. P. 17754–17762.</w:t>
      </w:r>
    </w:p>
    <w:p>
      <w:pPr>
        <w:pStyle w:val="ListNumber"/>
      </w:pPr>
      <w:r>
        <w:t>Robertson S., Zaragoza H. The Probabilistic Relevance Framework: BM25 and Beyond // Foundations and Trends in Information Retrieval. 2009. Vol. 3, No. 4. P. 333–389.</w:t>
      </w:r>
    </w:p>
    <w:p>
      <w:pPr>
        <w:pStyle w:val="ListNumber"/>
      </w:pPr>
      <w:r>
        <w:t>Karpukhin V., Oguz B., Min S. et al. Dense Passage Retrieval for Open-Domain Question Answering // Proceedings of EMNLP. 2020. P. 6769–6781.</w:t>
      </w:r>
    </w:p>
    <w:p>
      <w:pPr>
        <w:pStyle w:val="ListNumber"/>
      </w:pPr>
      <w:r>
        <w:t>Cormack G., Clarke C., Buettcher S. Reciprocal Rank Fusion Outperforms Condorcet and Individual Rank Learning Methods // Proceedings of SIGIR. 2009. P. 758–759.</w:t>
      </w:r>
    </w:p>
    <w:p>
      <w:pPr>
        <w:pStyle w:val="ListNumber"/>
      </w:pPr>
      <w:r>
        <w:t>Cui J., Li J., Liu Z. et al. ChatLaw: Open-Source Legal Large Language Model with Integrated External Knowledge Bases // arXiv preprint arXiv:2306.16092. 2023.</w:t>
      </w:r>
    </w:p>
    <w:p>
      <w:pPr>
        <w:pStyle w:val="ListNumber"/>
      </w:pPr>
      <w:r>
        <w:t>Chalkidis I., Fergadiotis M., Malakasiotis P. et al. LEGAL-BERT: The Muppets Straight Out of Law School // Findings of EMNLP. 2020. P. 2898–2904.</w:t>
      </w:r>
    </w:p>
    <w:p>
      <w:pPr>
        <w:pStyle w:val="ListNumber"/>
      </w:pPr>
      <w:r>
        <w:t>Wang L., Yang N., Huang X. et al. Text Embeddings by Weakly-Supervised Contrastive Pre-training // arXiv preprint arXiv:2212.03533. 2022.</w:t>
      </w:r>
    </w:p>
    <w:p>
      <w:pPr>
        <w:pStyle w:val="ListNumber"/>
      </w:pPr>
      <w:r>
        <w:t>Liu N.F., Lin K., Hewitt J. et al. Lost in the Middle: How Language Models Use Long Contexts // Transactions of ACL. 2024. Vol. 12. P. 157–173.</w:t>
      </w:r>
    </w:p>
    <w:p>
      <w:pPr>
        <w:pStyle w:val="Heading2"/>
      </w:pPr>
      <w:r>
        <w:t>LaTeX-таблица для Overleaf</w:t>
      </w:r>
    </w:p>
    <w:p>
      <w:pPr>
        <w:spacing w:before="120" w:after="120"/>
      </w:pPr>
      <w:r>
        <w:rPr>
          <w:rFonts w:ascii="Consolas" w:hAnsi="Consolas"/>
          <w:color w:val="333333"/>
          <w:sz w:val="16"/>
        </w:rPr>
        <w:t>\begin{table}[htbp]</w:t>
        <w:br/>
        <w:t>\centering</w:t>
        <w:br/>
        <w:t>\caption{Сводные результаты оценки стратегий извлечения}</w:t>
        <w:br/>
        <w:t>\label{tab:benchmark_summary}</w:t>
        <w:br/>
        <w:t>\begin{tabular}{@{}lcccc@{}}</w:t>
        <w:br/>
        <w:t>\toprule</w:t>
        <w:br/>
        <w:t>Стратегия &amp; Hit@1 &amp; Hit@3 &amp; MRR &amp; Citation Acc., \% \\</w:t>
        <w:br/>
        <w:t>\midrule</w:t>
        <w:br/>
        <w:t>BM25 (Structural)             &amp; 0.400 &amp; 0.533 &amp; 0.444 &amp; 40.0  \\</w:t>
        <w:br/>
        <w:t>Dense (Structural)            &amp; 0.400 &amp; 0.533 &amp; 0.471 &amp; 40.0  \\</w:t>
        <w:br/>
        <w:t>Hybrid (Structural)           &amp; 0.333 &amp; 0.667 &amp; 0.483 &amp; 33.3  \\</w:t>
        <w:br/>
        <w:t>\textbf{Hybrid (Naive 500)}   &amp; \textbf{0.533} &amp; \textbf{0.600} &amp; \textbf{0.567} &amp; \textbf{53.3} \\</w:t>
        <w:br/>
        <w:t>Full RAG (Hybrid + Gemini)    &amp; 0.333 &amp; 0.667 &amp; 0.467 &amp; 33.3  \\</w:t>
        <w:br/>
        <w:t>\bottomrule</w:t>
        <w:br/>
        <w:t>\end{tabular}</w:t>
        <w:br/>
        <w:t>\end{table}</w:t>
        <w:br/>
        <w:br/>
        <w:t>\begin{table}[htbp]</w:t>
        <w:br/>
        <w:t>\centering</w:t>
        <w:br/>
        <w:t>\caption{Средняя задержка стратегий извлечения (мс)}</w:t>
        <w:br/>
        <w:t>\label{tab:latency_summary}</w:t>
        <w:br/>
        <w:t>\begin{tabular}{@{}lccc@{}}</w:t>
        <w:br/>
        <w:t>\toprule</w:t>
        <w:br/>
        <w:t>Стратегия &amp; $\bar{t}_{\text{retrieval}}$ &amp; $\bar{t}_{\text{TTFT}}$ &amp; $\bar{t}_{\text{e2e}}$ \\</w:t>
        <w:br/>
        <w:t>\midrule</w:t>
        <w:br/>
        <w:t>BM25 (Structural)              &amp; 0.65   &amp; ---   &amp; 0.65    \\</w:t>
        <w:br/>
        <w:t>Dense (Structural)             &amp; 21.51  &amp; ---   &amp; 21.51   \\</w:t>
        <w:br/>
        <w:t>Hybrid (Structural)            &amp; 23.11  &amp; ---   &amp; 23.11   \\</w:t>
        <w:br/>
        <w:t>Hybrid (Naive 500)             &amp; 34.94  &amp; ---   &amp; 34.94   \\</w:t>
        <w:br/>
        <w:t>Full RAG (Hybrid + Gemini)     &amp; 24.08  &amp; 50.45 &amp; 154.84  \\</w:t>
        <w:br/>
        <w:t>\bottomrule</w:t>
        <w:br/>
        <w:t>\end{tabular}</w:t>
        <w:br/>
        <w:t>\end{table}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