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0"/>
          <w:szCs w:val="30"/>
        </w:rPr>
        <w:t xml:space="preserve">Interferencia cognitiva (Stroop) — instructivo de clase</w:t>
      </w:r>
    </w:p>
    <w:p>
      <w:pPr>
        <w:pBdr>
          <w:bottom w:val="single" w:color="1F3864" w:sz="6" w:space="6"/>
        </w:pBdr>
        <w:spacing w:after="90"/>
      </w:pPr>
      <w:r>
        <w:rPr>
          <w:rFonts w:ascii="Calibri" w:cs="Calibri" w:eastAsia="Calibri" w:hAnsi="Calibri"/>
          <w:color w:val="595959"/>
          <w:sz w:val="18"/>
          <w:szCs w:val="18"/>
        </w:rPr>
        <w:t xml:space="preserve">IIC3800 · Modelos de Aprendizaje en Neurociencia Cognitiva e Inteligencia Artificial · Clase del 24 de agosto</w:t>
      </w:r>
    </w:p>
    <w:p>
      <w:pPr>
        <w:spacing w:after="90" w:before="140" w:line="250"/>
      </w:pPr>
      <w:r>
        <w:rPr>
          <w:rFonts w:ascii="Calibri" w:cs="Calibri" w:eastAsia="Calibri" w:hAnsi="Calibri"/>
          <w:color w:val="000000"/>
          <w:sz w:val="19"/>
          <w:szCs w:val="19"/>
        </w:rPr>
        <w:t xml:space="preserve">Este documento sirve a las dos partes: al instructor para conducir la sesión y a los estudiantes para seguirla. Todo el material está en un repositorio público de GitHub y se ejecuta en el navegador, sin instalar nada.</w:t>
      </w:r>
    </w:p>
    <w:p>
      <w:pPr>
        <w:keepNext/>
        <w:keepLines/>
        <w:spacing w:after="70" w:before="160"/>
      </w:pPr>
      <w:r>
        <w:rPr>
          <w:rFonts w:ascii="Calibri" w:cs="Calibri" w:eastAsia="Calibri" w:hAnsi="Calibri"/>
          <w:b/>
          <w:bCs/>
          <w:color w:val="1F3864"/>
          <w:sz w:val="22"/>
          <w:szCs w:val="22"/>
        </w:rPr>
        <w:t xml:space="preserve">Los enlaces</w:t>
      </w:r>
    </w:p>
    <w:p>
      <w:pPr>
        <w:spacing w:after="90" w:before="0" w:line="250"/>
      </w:pPr>
      <w:r>
        <w:rPr>
          <w:rFonts w:ascii="Calibri" w:cs="Calibri" w:eastAsia="Calibri" w:hAnsi="Calibri"/>
          <w:color w:val="000000"/>
          <w:sz w:val="19"/>
          <w:szCs w:val="19"/>
        </w:rPr>
        <w:t xml:space="preserve">Repositorio: </w:t>
      </w:r>
      <w:hyperlink w:history="1" r:id="rIdz_v997sb3ibttytq4ofpn">
        <w:r>
          <w:rPr>
            <w:rFonts w:ascii="Calibri" w:cs="Calibri" w:eastAsia="Calibri" w:hAnsi="Calibri"/>
            <w:color w:val="0563C1"/>
            <w:sz w:val="19"/>
            <w:szCs w:val="19"/>
            <w:u w:val="single"/>
          </w:rPr>
          <w:t xml:space="preserve">github.com/decostruttivismo/IIC3800-2026-NCC-IA</w:t>
        </w:r>
      </w:hyperlink>
      <w:r>
        <w:rPr>
          <w:rFonts w:ascii="Calibri" w:cs="Calibri" w:eastAsia="Calibri" w:hAnsi="Calibri"/>
          <w:color w:val="000000"/>
          <w:sz w:val="19"/>
          <w:szCs w:val="19"/>
        </w:rPr>
        <w:t xml:space="preserve">  ·  carpeta </w:t>
      </w:r>
      <w:r>
        <w:rPr>
          <w:rFonts w:ascii="Consolas" w:cs="Consolas" w:eastAsia="Consolas" w:hAnsi="Consolas"/>
          <w:color w:val="1F3864"/>
          <w:sz w:val="17"/>
          <w:szCs w:val="17"/>
        </w:rPr>
        <w:t xml:space="preserve">clase-24-agosto</w:t>
      </w:r>
      <w:r>
        <w:rPr>
          <w:rFonts w:ascii="Calibri" w:cs="Calibri" w:eastAsia="Calibri" w:hAnsi="Calibri"/>
          <w:color w:val="000000"/>
          <w:sz w:val="19"/>
          <w:szCs w:val="19"/>
        </w:rPr>
        <w:t xml:space="preserve">.</w:t>
      </w:r>
    </w:p>
    <w:p>
      <w:pPr>
        <w:spacing w:after="90" w:before="0" w:line="250"/>
      </w:pPr>
      <w:r>
        <w:rPr>
          <w:rFonts w:ascii="Calibri" w:cs="Calibri" w:eastAsia="Calibri" w:hAnsi="Calibri"/>
          <w:color w:val="000000"/>
          <w:sz w:val="19"/>
          <w:szCs w:val="19"/>
        </w:rPr>
        <w:t xml:space="preserve">Desde el </w:t>
      </w:r>
      <w:r>
        <w:rPr>
          <w:rFonts w:ascii="Calibri" w:cs="Calibri" w:eastAsia="Calibri" w:hAnsi="Calibri"/>
          <w:b/>
          <w:bCs/>
          <w:color w:val="000000"/>
          <w:sz w:val="19"/>
          <w:szCs w:val="19"/>
        </w:rPr>
        <w:t xml:space="preserve">README</w:t>
      </w:r>
      <w:r>
        <w:rPr>
          <w:rFonts w:ascii="Calibri" w:cs="Calibri" w:eastAsia="Calibri" w:hAnsi="Calibri"/>
          <w:color w:val="000000"/>
          <w:sz w:val="19"/>
          <w:szCs w:val="19"/>
        </w:rPr>
        <w:t xml:space="preserve"> del repositorio hay un botón que abre cada cuaderno en Google Colab. También se llega directamente: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50"/>
        <w:gridCol w:w="7198"/>
      </w:tblGrid>
      <w:tr>
        <w:trPr>
          <w:tblHeader/>
        </w:trPr>
        <w:tc>
          <w:tcPr>
            <w:tcW w:type="dxa" w:w="2450"/>
            <w:tcBorders>
              <w:top w:val="single" w:color="BFBFBF" w:sz="2"/>
              <w:left w:val="none" w:color="FFFFFF" w:sz="0"/>
              <w:bottom w:val="single" w:color="BFBFBF" w:sz="2"/>
              <w:right w:val="none" w:color="FFFFFF" w:sz="0"/>
            </w:tcBorders>
            <w:shd w:fill="F2F2F2" w:color="auto" w:val="clear"/>
            <w:tcMar>
              <w:top w:type="dxa" w:w="60"/>
              <w:left w:type="dxa" w:w="90"/>
              <w:bottom w:type="dxa" w:w="60"/>
              <w:right w:type="dxa" w:w="90"/>
            </w:tcMar>
          </w:tcPr>
          <w:p>
            <w:pPr>
              <w:spacing w:after="0" w:before="0" w:line="250"/>
            </w:pPr>
            <w:r>
              <w:rPr>
                <w:rFonts w:ascii="Calibri" w:cs="Calibri" w:eastAsia="Calibri" w:hAnsi="Calibri"/>
                <w:b/>
                <w:bCs/>
                <w:color w:val="000000"/>
                <w:sz w:val="19"/>
                <w:szCs w:val="19"/>
              </w:rPr>
              <w:t xml:space="preserve">Cuaderno</w:t>
            </w:r>
          </w:p>
        </w:tc>
        <w:tc>
          <w:tcPr>
            <w:tcW w:type="dxa" w:w="7198"/>
            <w:tcBorders>
              <w:top w:val="single" w:color="BFBFBF" w:sz="2"/>
              <w:left w:val="none" w:color="FFFFFF" w:sz="0"/>
              <w:bottom w:val="single" w:color="BFBFBF" w:sz="2"/>
              <w:right w:val="none" w:color="FFFFFF" w:sz="0"/>
            </w:tcBorders>
            <w:shd w:fill="F2F2F2" w:color="auto" w:val="clear"/>
            <w:tcMar>
              <w:top w:type="dxa" w:w="60"/>
              <w:left w:type="dxa" w:w="90"/>
              <w:bottom w:type="dxa" w:w="60"/>
              <w:right w:type="dxa" w:w="90"/>
            </w:tcMar>
          </w:tcPr>
          <w:p>
            <w:pPr>
              <w:spacing w:after="0" w:before="0" w:line="250"/>
            </w:pPr>
            <w:r>
              <w:rPr>
                <w:rFonts w:ascii="Calibri" w:cs="Calibri" w:eastAsia="Calibri" w:hAnsi="Calibri"/>
                <w:b/>
                <w:bCs/>
                <w:color w:val="000000"/>
                <w:sz w:val="19"/>
                <w:szCs w:val="19"/>
              </w:rPr>
              <w:t xml:space="preserve">Qué contiene</w:t>
            </w:r>
          </w:p>
        </w:tc>
      </w:tr>
      <w:tr>
        <w:tc>
          <w:tcPr>
            <w:tcW w:type="dxa" w:w="245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hyperlink w:history="1" r:id="rIdgcgkyt9cjtr06qjcckyiu">
              <w:r>
                <w:rPr>
                  <w:rFonts w:ascii="Calibri" w:cs="Calibri" w:eastAsia="Calibri" w:hAnsi="Calibri"/>
                  <w:color w:val="0563C1"/>
                  <w:sz w:val="19"/>
                  <w:szCs w:val="19"/>
                  <w:u w:val="single"/>
                </w:rPr>
                <w:t xml:space="preserve">00 · Prueba</w:t>
              </w:r>
            </w:hyperlink>
          </w:p>
        </w:tc>
        <w:tc>
          <w:tcPr>
            <w:tcW w:type="dxa" w:w="719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Comprueba que el entorno funciona. Se corre nada más llegar.</w:t>
            </w:r>
          </w:p>
        </w:tc>
      </w:tr>
      <w:tr>
        <w:tc>
          <w:tcPr>
            <w:tcW w:type="dxa" w:w="245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hyperlink w:history="1" r:id="rId8qa6ax91dikautpfgh2pv">
              <w:r>
                <w:rPr>
                  <w:rFonts w:ascii="Calibri" w:cs="Calibri" w:eastAsia="Calibri" w:hAnsi="Calibri"/>
                  <w:color w:val="0563C1"/>
                  <w:sz w:val="19"/>
                  <w:szCs w:val="19"/>
                  <w:u w:val="single"/>
                </w:rPr>
                <w:t xml:space="preserve">01 · Inferencia</w:t>
              </w:r>
            </w:hyperlink>
          </w:p>
        </w:tc>
        <w:tc>
          <w:tcPr>
            <w:tcW w:type="dxa" w:w="719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Medias por condición, regresión lineal, modelo mixto y regresión logística. Cuatro ejercicios.</w:t>
            </w:r>
          </w:p>
        </w:tc>
      </w:tr>
      <w:tr>
        <w:tc>
          <w:tcPr>
            <w:tcW w:type="dxa" w:w="245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hyperlink w:history="1" r:id="rIdrzhptdojvklennx8ol1os">
              <w:r>
                <w:rPr>
                  <w:rFonts w:ascii="Calibri" w:cs="Calibri" w:eastAsia="Calibri" w:hAnsi="Calibri"/>
                  <w:color w:val="0563C1"/>
                  <w:sz w:val="19"/>
                  <w:szCs w:val="19"/>
                  <w:u w:val="single"/>
                </w:rPr>
                <w:t xml:space="preserve">02 · Predicción</w:t>
              </w:r>
            </w:hyperlink>
          </w:p>
        </w:tc>
        <w:tc>
          <w:tcPr>
            <w:tcW w:type="dxa" w:w="719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Validación por participante y el contraste entre inferencia y predicción. Dos ejercicios.</w:t>
            </w:r>
          </w:p>
        </w:tc>
      </w:tr>
    </w:tbl>
    <w:p>
      <w:pPr>
        <w:spacing w:after="90" w:before="110" w:line="250"/>
      </w:pPr>
      <w:r>
        <w:rPr>
          <w:rFonts w:ascii="Calibri" w:cs="Calibri" w:eastAsia="Calibri" w:hAnsi="Calibri"/>
          <w:color w:val="000000"/>
          <w:sz w:val="19"/>
          <w:szCs w:val="19"/>
        </w:rPr>
        <w:t xml:space="preserve">Las soluciones de los ejercicios están en la carpeta </w:t>
      </w:r>
      <w:r>
        <w:rPr>
          <w:rFonts w:ascii="Consolas" w:cs="Consolas" w:eastAsia="Consolas" w:hAnsi="Consolas"/>
          <w:color w:val="1F3864"/>
          <w:sz w:val="17"/>
          <w:szCs w:val="17"/>
        </w:rPr>
        <w:t xml:space="preserve">notebooks/soluciones/</w:t>
      </w:r>
      <w:r>
        <w:rPr>
          <w:rFonts w:ascii="Calibri" w:cs="Calibri" w:eastAsia="Calibri" w:hAnsi="Calibri"/>
          <w:color w:val="000000"/>
          <w:sz w:val="19"/>
          <w:szCs w:val="19"/>
        </w:rPr>
        <w:t xml:space="preserve"> y se revisan después de trabajarlos.</w:t>
      </w:r>
    </w:p>
    <w:p>
      <w:pPr>
        <w:keepNext/>
        <w:keepLines/>
        <w:spacing w:after="70" w:before="220"/>
      </w:pPr>
      <w:r>
        <w:rPr>
          <w:rFonts w:ascii="Calibri" w:cs="Calibri" w:eastAsia="Calibri" w:hAnsi="Calibri"/>
          <w:b/>
          <w:bCs/>
          <w:color w:val="1F3864"/>
          <w:sz w:val="22"/>
          <w:szCs w:val="22"/>
        </w:rPr>
        <w:t xml:space="preserve">Cómo se corre</w:t>
      </w:r>
    </w:p>
    <w:p>
      <w:pPr>
        <w:spacing w:after="90" w:before="0" w:line="250"/>
      </w:pPr>
      <w:r>
        <w:rPr>
          <w:rFonts w:ascii="Calibri" w:cs="Calibri" w:eastAsia="Calibri" w:hAnsi="Calibri"/>
          <w:color w:val="000000"/>
          <w:sz w:val="19"/>
          <w:szCs w:val="19"/>
        </w:rPr>
        <w:t xml:space="preserve">Al abrir un enlace, el cuaderno se carga en Google Colab. No hace falta instalar nada ni descargar los datos: las bibliotecas ya están en Colab y el archivo de datos se lee solo desde el repositorio.</w:t>
      </w:r>
    </w:p>
    <w:p>
      <w:pPr>
        <w:pStyle w:val="ListParagraph"/>
        <w:numPr>
          <w:ilvl w:val="0"/>
          <w:numId w:val="1"/>
        </w:numPr>
        <w:spacing w:after="50" w:line="250"/>
        <w:ind w:left="260" w:hanging="200"/>
      </w:pPr>
      <w:r>
        <w:rPr>
          <w:rFonts w:ascii="Calibri" w:cs="Calibri" w:eastAsia="Calibri" w:hAnsi="Calibri"/>
          <w:color w:val="000000"/>
          <w:sz w:val="19"/>
          <w:szCs w:val="19"/>
        </w:rPr>
        <w:t xml:space="preserve">Para ejecutar una celda: clic en ella y </w:t>
      </w:r>
      <w:r>
        <w:rPr>
          <w:rFonts w:ascii="Calibri" w:cs="Calibri" w:eastAsia="Calibri" w:hAnsi="Calibri"/>
          <w:b/>
          <w:bCs/>
          <w:color w:val="000000"/>
          <w:sz w:val="19"/>
          <w:szCs w:val="19"/>
        </w:rPr>
        <w:t xml:space="preserve">Shift + Enter</w:t>
      </w:r>
      <w:r>
        <w:rPr>
          <w:rFonts w:ascii="Calibri" w:cs="Calibri" w:eastAsia="Calibri" w:hAnsi="Calibri"/>
          <w:color w:val="000000"/>
          <w:sz w:val="19"/>
          <w:szCs w:val="19"/>
        </w:rPr>
        <w:t xml:space="preserve">.</w:t>
      </w:r>
    </w:p>
    <w:p>
      <w:pPr>
        <w:pStyle w:val="ListParagraph"/>
        <w:numPr>
          <w:ilvl w:val="0"/>
          <w:numId w:val="1"/>
        </w:numPr>
        <w:spacing w:after="50" w:line="250"/>
        <w:ind w:left="260" w:hanging="200"/>
      </w:pPr>
      <w:r>
        <w:rPr>
          <w:rFonts w:ascii="Calibri" w:cs="Calibri" w:eastAsia="Calibri" w:hAnsi="Calibri"/>
          <w:color w:val="000000"/>
          <w:sz w:val="19"/>
          <w:szCs w:val="19"/>
        </w:rPr>
        <w:t xml:space="preserve">Las celdas se ejecutan </w:t>
      </w:r>
      <w:r>
        <w:rPr>
          <w:rFonts w:ascii="Calibri" w:cs="Calibri" w:eastAsia="Calibri" w:hAnsi="Calibri"/>
          <w:b/>
          <w:bCs/>
          <w:color w:val="000000"/>
          <w:sz w:val="19"/>
          <w:szCs w:val="19"/>
        </w:rPr>
        <w:t xml:space="preserve">en orden</w:t>
      </w:r>
      <w:r>
        <w:rPr>
          <w:rFonts w:ascii="Calibri" w:cs="Calibri" w:eastAsia="Calibri" w:hAnsi="Calibri"/>
          <w:color w:val="000000"/>
          <w:sz w:val="19"/>
          <w:szCs w:val="19"/>
        </w:rPr>
        <w:t xml:space="preserve">, de arriba abajo. Si se salta una, las siguientes fallan.</w:t>
      </w:r>
    </w:p>
    <w:p>
      <w:pPr>
        <w:pStyle w:val="ListParagraph"/>
        <w:numPr>
          <w:ilvl w:val="0"/>
          <w:numId w:val="1"/>
        </w:numPr>
        <w:spacing w:after="50" w:line="250"/>
        <w:ind w:left="260" w:hanging="200"/>
      </w:pPr>
      <w:r>
        <w:rPr>
          <w:rFonts w:ascii="Calibri" w:cs="Calibri" w:eastAsia="Calibri" w:hAnsi="Calibri"/>
          <w:color w:val="000000"/>
          <w:sz w:val="19"/>
          <w:szCs w:val="19"/>
        </w:rPr>
        <w:t xml:space="preserve">Para conservar lo que escribas: </w:t>
      </w:r>
      <w:r>
        <w:rPr>
          <w:rFonts w:ascii="Consolas" w:cs="Consolas" w:eastAsia="Consolas" w:hAnsi="Consolas"/>
          <w:color w:val="1F3864"/>
          <w:sz w:val="17"/>
          <w:szCs w:val="17"/>
        </w:rPr>
        <w:t xml:space="preserve">Archivo → Guardar una copia en Drive</w:t>
      </w:r>
      <w:r>
        <w:rPr>
          <w:rFonts w:ascii="Calibri" w:cs="Calibri" w:eastAsia="Calibri" w:hAnsi="Calibri"/>
          <w:color w:val="000000"/>
          <w:sz w:val="19"/>
          <w:szCs w:val="19"/>
        </w:rPr>
        <w:t xml:space="preserve">. Sin eso, los cambios se pierden al cerrar la pestaña.</w:t>
      </w:r>
    </w:p>
    <w:p>
      <w:pPr>
        <w:keepNext/>
        <w:keepLines/>
        <w:spacing w:after="70" w:before="220"/>
      </w:pPr>
      <w:r>
        <w:rPr>
          <w:rFonts w:ascii="Calibri" w:cs="Calibri" w:eastAsia="Calibri" w:hAnsi="Calibri"/>
          <w:b/>
          <w:bCs/>
          <w:color w:val="1F3864"/>
          <w:sz w:val="22"/>
          <w:szCs w:val="22"/>
        </w:rPr>
        <w:t xml:space="preserve">Qué se espera de los estudiantes</w:t>
      </w:r>
    </w:p>
    <w:p>
      <w:pPr>
        <w:spacing w:after="90" w:before="0" w:line="250"/>
      </w:pPr>
      <w:r>
        <w:rPr>
          <w:rFonts w:ascii="Calibri" w:cs="Calibri" w:eastAsia="Calibri" w:hAnsi="Calibri"/>
          <w:color w:val="000000"/>
          <w:sz w:val="19"/>
          <w:szCs w:val="19"/>
        </w:rPr>
        <w:t xml:space="preserve">Seguir el cuaderno en su propia pantalla mientras se comenta en clase, ejecutando las mismas celdas. No es una demostración para mirar: los números que aparecen son los que se discuten.</w:t>
      </w:r>
    </w:p>
    <w:p>
      <w:pPr>
        <w:spacing w:after="90" w:before="0" w:line="250"/>
      </w:pPr>
      <w:r>
        <w:rPr>
          <w:rFonts w:ascii="Calibri" w:cs="Calibri" w:eastAsia="Calibri" w:hAnsi="Calibri"/>
          <w:color w:val="000000"/>
          <w:sz w:val="19"/>
          <w:szCs w:val="19"/>
        </w:rPr>
        <w:t xml:space="preserve">Las celdas marcadas </w:t>
      </w:r>
      <w:r>
        <w:rPr>
          <w:rFonts w:ascii="Calibri" w:cs="Calibri" w:eastAsia="Calibri" w:hAnsi="Calibri"/>
          <w:b/>
          <w:bCs/>
          <w:color w:val="000000"/>
          <w:sz w:val="19"/>
          <w:szCs w:val="19"/>
        </w:rPr>
        <w:t xml:space="preserve">✋ TU TURNO</w:t>
      </w:r>
      <w:r>
        <w:rPr>
          <w:rFonts w:ascii="Calibri" w:cs="Calibri" w:eastAsia="Calibri" w:hAnsi="Calibri"/>
          <w:color w:val="000000"/>
          <w:sz w:val="19"/>
          <w:szCs w:val="19"/>
        </w:rPr>
        <w:t xml:space="preserve"> son de trabajo propio. Traen una consigna y una celda vacía debajo; hay que escribir el código, ejecutarlo e interpretar el resultado antes de que se comente en voz alta. Son cuatro en el cuaderno 01 y dos en el 02, y cada uno está pensado para unos pocos minutos.</w:t>
      </w:r>
    </w:p>
    <w:p>
      <w:pPr>
        <w:spacing w:after="90" w:before="0" w:line="250"/>
      </w:pPr>
      <w:r>
        <w:rPr>
          <w:rFonts w:ascii="Calibri" w:cs="Calibri" w:eastAsia="Calibri" w:hAnsi="Calibri"/>
          <w:color w:val="000000"/>
          <w:sz w:val="19"/>
          <w:szCs w:val="19"/>
        </w:rPr>
        <w:t xml:space="preserve">El texto entre celdas no es relleno: explica qué mirar en cada salida y por qué. Conviene leerlo, sobre todo cuando el resultado del código no es obvio.</w:t>
      </w:r>
    </w:p>
    <w:p>
      <w:pPr>
        <w:keepNext/>
        <w:keepLines/>
        <w:spacing w:after="70" w:before="220"/>
      </w:pPr>
      <w:r>
        <w:rPr>
          <w:rFonts w:ascii="Calibri" w:cs="Calibri" w:eastAsia="Calibri" w:hAnsi="Calibri"/>
          <w:b/>
          <w:bCs/>
          <w:color w:val="1F3864"/>
          <w:sz w:val="22"/>
          <w:szCs w:val="22"/>
        </w:rPr>
        <w:t xml:space="preserve">Qué se hace en cada cuaderno</w:t>
      </w:r>
    </w:p>
    <w:p>
      <w:pPr>
        <w:spacing w:after="90" w:before="0" w:line="250"/>
      </w:pPr>
      <w:r>
        <w:rPr>
          <w:rFonts w:ascii="Calibri" w:cs="Calibri" w:eastAsia="Calibri" w:hAnsi="Calibri"/>
          <w:b/>
          <w:bCs/>
          <w:color w:val="000000"/>
          <w:sz w:val="19"/>
          <w:szCs w:val="19"/>
        </w:rPr>
        <w:t xml:space="preserve">Cuaderno 01 — del comportamiento al modelo.</w:t>
      </w:r>
      <w:r>
        <w:rPr>
          <w:rFonts w:ascii="Calibri" w:cs="Calibri" w:eastAsia="Calibri" w:hAnsi="Calibri"/>
          <w:color w:val="000000"/>
          <w:sz w:val="19"/>
          <w:szCs w:val="19"/>
        </w:rPr>
        <w:t xml:space="preserve"> Se parte de las medias por condición (el efecto Stroop son unos 65 ms y unos 5.6 puntos de precisión) y se recorren cuatro modelos, cada uno de los cuales arregla un problema del anterior: la regresión simple añade una medida de incertidumbre, añadir el número de ensayo saca del error el efecto de la práctica, el modelo mixto reconoce que los ensayos vienen agrupados por participante, y la regresión logística trata los aciertos como lo que son, una variable binaria. Dos números para llevarse a la segunda parte: el efecto tiene un valor-p de alrededor de 10</w:t>
      </w:r>
      <w:r>
        <w:rPr>
          <w:rFonts w:ascii="Calibri" w:cs="Calibri" w:eastAsia="Calibri" w:hAnsi="Calibri"/>
          <w:sz w:val="19"/>
          <w:szCs w:val="19"/>
          <w:vertAlign w:val="superscript"/>
        </w:rPr>
        <w:t xml:space="preserve">−110</w:t>
      </w:r>
      <w:r>
        <w:rPr>
          <w:rFonts w:ascii="Calibri" w:cs="Calibri" w:eastAsia="Calibri" w:hAnsi="Calibri"/>
          <w:color w:val="000000"/>
          <w:sz w:val="19"/>
          <w:szCs w:val="19"/>
        </w:rPr>
        <w:t xml:space="preserve"> y el modelo explica el 15 % de la variación del tiempo de reacción.</w:t>
      </w:r>
    </w:p>
    <w:p>
      <w:pPr>
        <w:spacing w:after="90" w:before="0" w:line="250"/>
      </w:pPr>
      <w:r>
        <w:rPr>
          <w:rFonts w:ascii="Calibri" w:cs="Calibri" w:eastAsia="Calibri" w:hAnsi="Calibri"/>
          <w:b/>
          <w:bCs/>
          <w:color w:val="000000"/>
          <w:sz w:val="19"/>
          <w:szCs w:val="19"/>
        </w:rPr>
        <w:t xml:space="preserve">Cuaderno 02 — inferencia y predicción.</w:t>
      </w:r>
      <w:r>
        <w:rPr>
          <w:rFonts w:ascii="Calibri" w:cs="Calibri" w:eastAsia="Calibri" w:hAnsi="Calibri"/>
          <w:color w:val="000000"/>
          <w:sz w:val="19"/>
          <w:szCs w:val="19"/>
        </w:rPr>
        <w:t xml:space="preserve"> El mismo modelo lineal, otra pregunta: con qué exactitud predice el tiempo de reacción de un participante que nunca vio. Se separan seis personas enteras, se ajusta con las otras veinticuatro y se evalúa. El resultado es que un efecto certísimo explica el 13 % de la variación en gente nueva, con un error de predicción casi tan grande como la variabilidad total. No hay contradicción, y entenderla es el objetivo de la sesión.</w:t>
      </w:r>
    </w:p>
    <w:p>
      <w:pPr>
        <w:keepNext/>
        <w:keepLines/>
        <w:spacing w:after="70" w:before="220"/>
      </w:pPr>
      <w:r>
        <w:rPr>
          <w:rFonts w:ascii="Calibri" w:cs="Calibri" w:eastAsia="Calibri" w:hAnsi="Calibri"/>
          <w:b/>
          <w:bCs/>
          <w:color w:val="1F3864"/>
          <w:sz w:val="22"/>
          <w:szCs w:val="22"/>
        </w:rPr>
        <w:t xml:space="preserve">Sobre los datos</w:t>
      </w:r>
    </w:p>
    <w:p>
      <w:pPr>
        <w:spacing w:after="90" w:before="0" w:line="250"/>
      </w:pPr>
      <w:r>
        <w:rPr>
          <w:rFonts w:ascii="Calibri" w:cs="Calibri" w:eastAsia="Calibri" w:hAnsi="Calibri"/>
          <w:color w:val="000000"/>
          <w:sz w:val="19"/>
          <w:szCs w:val="19"/>
        </w:rPr>
        <w:t xml:space="preserve">Son </w:t>
      </w:r>
      <w:r>
        <w:rPr>
          <w:rFonts w:ascii="Calibri" w:cs="Calibri" w:eastAsia="Calibri" w:hAnsi="Calibri"/>
          <w:b/>
          <w:bCs/>
          <w:color w:val="000000"/>
          <w:sz w:val="19"/>
          <w:szCs w:val="19"/>
        </w:rPr>
        <w:t xml:space="preserve">simulados</w:t>
      </w:r>
      <w:r>
        <w:rPr>
          <w:rFonts w:ascii="Calibri" w:cs="Calibri" w:eastAsia="Calibri" w:hAnsi="Calibri"/>
          <w:color w:val="000000"/>
          <w:sz w:val="19"/>
          <w:szCs w:val="19"/>
        </w:rPr>
        <w:t xml:space="preserve">: no provienen de un experimento con personas, sino de un generador con la estructura de uno. Para lo que se practica —las decisiones de análisis— no cambia nada. Pero conviene saberlo, y el cuaderno 02 termina explicando en qué se notaría un conjunto real: distribuciones asimétricas, respuestas anticipadas y despistes, errores más rápidos que los aciertos, diferencias individuales en la precisión y dependencia entre ensayos consecutivos.</w:t>
      </w:r>
    </w:p>
    <w:p>
      <w:pPr>
        <w:keepNext/>
        <w:keepLines/>
        <w:spacing w:after="70" w:before="220"/>
      </w:pPr>
      <w:r>
        <w:rPr>
          <w:rFonts w:ascii="Calibri" w:cs="Calibri" w:eastAsia="Calibri" w:hAnsi="Calibri"/>
          <w:b/>
          <w:bCs/>
          <w:color w:val="1F3864"/>
          <w:sz w:val="22"/>
          <w:szCs w:val="22"/>
        </w:rPr>
        <w:t xml:space="preserve">Qué contiene el repositorio</w:t>
      </w:r>
    </w:p>
    <w:p>
      <w:pPr>
        <w:spacing w:after="90" w:before="0" w:line="250"/>
      </w:pPr>
      <w:r>
        <w:rPr>
          <w:rFonts w:ascii="Calibri" w:cs="Calibri" w:eastAsia="Calibri" w:hAnsi="Calibri"/>
          <w:color w:val="000000"/>
          <w:sz w:val="19"/>
          <w:szCs w:val="19"/>
        </w:rPr>
        <w:t xml:space="preserve">Cinco cosas, y solo las dos primeras hacen falta durante la clase.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7548"/>
      </w:tblGrid>
      <w:tr>
        <w:trPr>
          <w:tblHeader/>
        </w:trPr>
        <w:tc>
          <w:tcPr>
            <w:tcW w:type="dxa" w:w="2100"/>
            <w:tcBorders>
              <w:top w:val="single" w:color="BFBFBF" w:sz="2"/>
              <w:left w:val="none" w:color="FFFFFF" w:sz="0"/>
              <w:bottom w:val="single" w:color="BFBFBF" w:sz="2"/>
              <w:right w:val="none" w:color="FFFFFF" w:sz="0"/>
            </w:tcBorders>
            <w:shd w:fill="F2F2F2" w:color="auto" w:val="clear"/>
            <w:tcMar>
              <w:top w:type="dxa" w:w="60"/>
              <w:left w:type="dxa" w:w="90"/>
              <w:bottom w:type="dxa" w:w="60"/>
              <w:right w:type="dxa" w:w="90"/>
            </w:tcMar>
          </w:tcPr>
          <w:p>
            <w:pPr>
              <w:spacing w:after="0" w:before="0" w:line="250"/>
            </w:pPr>
            <w:r>
              <w:rPr>
                <w:rFonts w:ascii="Calibri" w:cs="Calibri" w:eastAsia="Calibri" w:hAnsi="Calibri"/>
                <w:b/>
                <w:bCs/>
                <w:color w:val="000000"/>
                <w:sz w:val="19"/>
                <w:szCs w:val="19"/>
              </w:rPr>
              <w:t xml:space="preserve">Carpeta o archivo</w:t>
            </w:r>
          </w:p>
        </w:tc>
        <w:tc>
          <w:tcPr>
            <w:tcW w:type="dxa" w:w="7548"/>
            <w:tcBorders>
              <w:top w:val="single" w:color="BFBFBF" w:sz="2"/>
              <w:left w:val="none" w:color="FFFFFF" w:sz="0"/>
              <w:bottom w:val="single" w:color="BFBFBF" w:sz="2"/>
              <w:right w:val="none" w:color="FFFFFF" w:sz="0"/>
            </w:tcBorders>
            <w:shd w:fill="F2F2F2" w:color="auto" w:val="clear"/>
            <w:tcMar>
              <w:top w:type="dxa" w:w="60"/>
              <w:left w:type="dxa" w:w="90"/>
              <w:bottom w:type="dxa" w:w="60"/>
              <w:right w:type="dxa" w:w="90"/>
            </w:tcMar>
          </w:tcPr>
          <w:p>
            <w:pPr>
              <w:spacing w:after="0" w:before="0" w:line="250"/>
            </w:pPr>
            <w:r>
              <w:rPr>
                <w:rFonts w:ascii="Calibri" w:cs="Calibri" w:eastAsia="Calibri" w:hAnsi="Calibri"/>
                <w:b/>
                <w:bCs/>
                <w:color w:val="000000"/>
                <w:sz w:val="19"/>
                <w:szCs w:val="19"/>
              </w:rPr>
              <w:t xml:space="preserve">Qué es</w:t>
            </w:r>
          </w:p>
        </w:tc>
      </w:tr>
      <w:tr>
        <w:tc>
          <w:tcPr>
            <w:tcW w:type="dxa" w:w="210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onsolas" w:cs="Consolas" w:eastAsia="Consolas" w:hAnsi="Consolas"/>
                <w:color w:val="1F3864"/>
                <w:sz w:val="17"/>
                <w:szCs w:val="17"/>
              </w:rPr>
              <w:t xml:space="preserve">notebooks/</w:t>
            </w:r>
          </w:p>
        </w:tc>
        <w:tc>
          <w:tcPr>
            <w:tcW w:type="dxa" w:w="754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Los tres cuadernos. Dentro, </w:t>
            </w:r>
            <w:r>
              <w:rPr>
                <w:rFonts w:ascii="Consolas" w:cs="Consolas" w:eastAsia="Consolas" w:hAnsi="Consolas"/>
                <w:color w:val="1F3864"/>
                <w:sz w:val="17"/>
                <w:szCs w:val="17"/>
              </w:rPr>
              <w:t xml:space="preserve">soluciones/</w:t>
            </w:r>
            <w:r>
              <w:rPr>
                <w:rFonts w:ascii="Calibri" w:cs="Calibri" w:eastAsia="Calibri" w:hAnsi="Calibri"/>
                <w:color w:val="000000"/>
                <w:sz w:val="19"/>
                <w:szCs w:val="19"/>
              </w:rPr>
              <w:t xml:space="preserve"> con los ejercicios resueltos y comentados.</w:t>
            </w:r>
          </w:p>
        </w:tc>
      </w:tr>
      <w:tr>
        <w:tc>
          <w:tcPr>
            <w:tcW w:type="dxa" w:w="210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onsolas" w:cs="Consolas" w:eastAsia="Consolas" w:hAnsi="Consolas"/>
                <w:color w:val="1F3864"/>
                <w:sz w:val="17"/>
                <w:szCs w:val="17"/>
              </w:rPr>
              <w:t xml:space="preserve">datos/</w:t>
            </w:r>
          </w:p>
        </w:tc>
        <w:tc>
          <w:tcPr>
            <w:tcW w:type="dxa" w:w="754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El archivo de datos y una ficha que describe sus columnas y cómo se generó.</w:t>
            </w:r>
          </w:p>
        </w:tc>
      </w:tr>
      <w:tr>
        <w:tc>
          <w:tcPr>
            <w:tcW w:type="dxa" w:w="210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onsolas" w:cs="Consolas" w:eastAsia="Consolas" w:hAnsi="Consolas"/>
                <w:color w:val="1F3864"/>
                <w:sz w:val="17"/>
                <w:szCs w:val="17"/>
              </w:rPr>
              <w:t xml:space="preserve">docs/</w:t>
            </w:r>
          </w:p>
        </w:tc>
        <w:tc>
          <w:tcPr>
            <w:tcW w:type="dxa" w:w="754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Documentos de uso interno: guía docente, cifras de referencia y cómo se publica.</w:t>
            </w:r>
          </w:p>
        </w:tc>
      </w:tr>
      <w:tr>
        <w:tc>
          <w:tcPr>
            <w:tcW w:type="dxa" w:w="210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onsolas" w:cs="Consolas" w:eastAsia="Consolas" w:hAnsi="Consolas"/>
                <w:color w:val="1F3864"/>
                <w:sz w:val="17"/>
                <w:szCs w:val="17"/>
              </w:rPr>
              <w:t xml:space="preserve">README.md</w:t>
            </w:r>
          </w:p>
        </w:tc>
        <w:tc>
          <w:tcPr>
            <w:tcW w:type="dxa" w:w="754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La portada del repositorio, con los botones que abren cada cuaderno en Colab.</w:t>
            </w:r>
          </w:p>
        </w:tc>
      </w:tr>
      <w:tr>
        <w:tc>
          <w:tcPr>
            <w:tcW w:type="dxa" w:w="2100"/>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onsolas" w:cs="Consolas" w:eastAsia="Consolas" w:hAnsi="Consolas"/>
                <w:color w:val="1F3864"/>
                <w:sz w:val="17"/>
                <w:szCs w:val="17"/>
              </w:rPr>
              <w:t xml:space="preserve">configurar.py</w:t>
            </w:r>
          </w:p>
        </w:tc>
        <w:tc>
          <w:tcPr>
            <w:tcW w:type="dxa" w:w="7548"/>
            <w:tcBorders>
              <w:top w:val="single" w:color="BFBFBF" w:sz="2"/>
              <w:left w:val="none" w:color="FFFFFF" w:sz="0"/>
              <w:bottom w:val="single" w:color="BFBFBF" w:sz="2"/>
              <w:right w:val="none" w:color="FFFFFF" w:sz="0"/>
            </w:tcBorders>
            <w:tcMar>
              <w:top w:type="dxa" w:w="60"/>
              <w:left w:type="dxa" w:w="90"/>
              <w:bottom w:type="dxa" w:w="60"/>
              <w:right w:type="dxa" w:w="90"/>
            </w:tcMar>
          </w:tcPr>
          <w:p>
            <w:pPr>
              <w:spacing w:after="0" w:before="0" w:line="250"/>
            </w:pPr>
            <w:r>
              <w:rPr>
                <w:rFonts w:ascii="Calibri" w:cs="Calibri" w:eastAsia="Calibri" w:hAnsi="Calibri"/>
                <w:color w:val="000000"/>
                <w:sz w:val="19"/>
                <w:szCs w:val="19"/>
              </w:rPr>
              <w:t xml:space="preserve">Utilidad del instructor: reescribe las direcciones y genera el código QR.</w:t>
            </w:r>
          </w:p>
        </w:tc>
      </w:tr>
    </w:tbl>
    <w:p>
      <w:pPr>
        <w:keepNext/>
        <w:keepLines/>
        <w:spacing w:after="70" w:before="220"/>
      </w:pPr>
      <w:r>
        <w:rPr>
          <w:rFonts w:ascii="Calibri" w:cs="Calibri" w:eastAsia="Calibri" w:hAnsi="Calibri"/>
          <w:b/>
          <w:bCs/>
          <w:color w:val="1F3864"/>
          <w:sz w:val="22"/>
          <w:szCs w:val="22"/>
        </w:rPr>
        <w:t xml:space="preserve">Si algo falla</w:t>
      </w:r>
    </w:p>
    <w:p>
      <w:pPr>
        <w:pStyle w:val="ListParagraph"/>
        <w:numPr>
          <w:ilvl w:val="0"/>
          <w:numId w:val="1"/>
        </w:numPr>
        <w:spacing w:after="50" w:line="250"/>
        <w:ind w:left="260" w:hanging="200"/>
      </w:pPr>
      <w:r>
        <w:rPr>
          <w:rFonts w:ascii="Calibri" w:cs="Calibri" w:eastAsia="Calibri" w:hAnsi="Calibri"/>
          <w:color w:val="000000"/>
          <w:sz w:val="19"/>
          <w:szCs w:val="19"/>
        </w:rPr>
        <w:t xml:space="preserve">El cuaderno no abre o la primera celda da error: probar en una ventana de incógnito, o iniciar sesión en una cuenta de Google.</w:t>
      </w:r>
    </w:p>
    <w:p>
      <w:pPr>
        <w:pStyle w:val="ListParagraph"/>
        <w:numPr>
          <w:ilvl w:val="0"/>
          <w:numId w:val="1"/>
        </w:numPr>
        <w:spacing w:after="50" w:line="250"/>
        <w:ind w:left="260" w:hanging="200"/>
      </w:pPr>
      <w:r>
        <w:rPr>
          <w:rFonts w:ascii="Calibri" w:cs="Calibri" w:eastAsia="Calibri" w:hAnsi="Calibri"/>
          <w:color w:val="000000"/>
          <w:sz w:val="19"/>
          <w:szCs w:val="19"/>
        </w:rPr>
        <w:t xml:space="preserve">Una celda falla y las anteriores no se ejecutaron: </w:t>
      </w:r>
      <w:r>
        <w:rPr>
          <w:rFonts w:ascii="Consolas" w:cs="Consolas" w:eastAsia="Consolas" w:hAnsi="Consolas"/>
          <w:color w:val="1F3864"/>
          <w:sz w:val="17"/>
          <w:szCs w:val="17"/>
        </w:rPr>
        <w:t xml:space="preserve">Entorno de ejecución → Ejecutar todas</w:t>
      </w:r>
      <w:r>
        <w:rPr>
          <w:rFonts w:ascii="Calibri" w:cs="Calibri" w:eastAsia="Calibri" w:hAnsi="Calibri"/>
          <w:color w:val="000000"/>
          <w:sz w:val="19"/>
          <w:szCs w:val="19"/>
        </w:rPr>
        <w:t xml:space="preserve">.</w:t>
      </w:r>
    </w:p>
    <w:p>
      <w:pPr>
        <w:pStyle w:val="ListParagraph"/>
        <w:numPr>
          <w:ilvl w:val="0"/>
          <w:numId w:val="1"/>
        </w:numPr>
        <w:spacing w:after="50" w:line="250"/>
        <w:ind w:left="260" w:hanging="200"/>
      </w:pPr>
      <w:r>
        <w:rPr>
          <w:rFonts w:ascii="Calibri" w:cs="Calibri" w:eastAsia="Calibri" w:hAnsi="Calibri"/>
          <w:color w:val="000000"/>
          <w:sz w:val="19"/>
          <w:szCs w:val="19"/>
        </w:rPr>
        <w:t xml:space="preserve">Colab reinicia el entorno a media clase: volver a ejecutar desde la primera celda. Tarda unos segundos.</w:t>
      </w:r>
    </w:p>
    <w:p>
      <w:pPr>
        <w:pStyle w:val="ListParagraph"/>
        <w:numPr>
          <w:ilvl w:val="0"/>
          <w:numId w:val="1"/>
        </w:numPr>
        <w:spacing w:after="50" w:line="250"/>
        <w:ind w:left="260" w:hanging="200"/>
      </w:pPr>
      <w:r>
        <w:rPr>
          <w:rFonts w:ascii="Calibri" w:cs="Calibri" w:eastAsia="Calibri" w:hAnsi="Calibri"/>
          <w:color w:val="000000"/>
          <w:sz w:val="19"/>
          <w:szCs w:val="19"/>
        </w:rPr>
        <w:t xml:space="preserve">Nada de lo anterior funciona: trabajar con un compañero y avisar al ayudante.</w:t>
      </w:r>
    </w:p>
    <w:p>
      <w:pPr>
        <w:keepNext/>
        <w:keepLines/>
        <w:spacing w:after="70" w:before="220"/>
      </w:pPr>
      <w:r>
        <w:rPr>
          <w:rFonts w:ascii="Calibri" w:cs="Calibri" w:eastAsia="Calibri" w:hAnsi="Calibri"/>
          <w:b/>
          <w:bCs/>
          <w:color w:val="1F3864"/>
          <w:sz w:val="22"/>
          <w:szCs w:val="22"/>
        </w:rPr>
        <w:t xml:space="preserve">Al terminar la sesión deberías poder</w:t>
      </w:r>
    </w:p>
    <w:p>
      <w:pPr>
        <w:pStyle w:val="ListParagraph"/>
        <w:numPr>
          <w:ilvl w:val="0"/>
          <w:numId w:val="1"/>
        </w:numPr>
        <w:spacing w:after="50" w:line="250"/>
        <w:ind w:left="260" w:hanging="200"/>
      </w:pPr>
      <w:r>
        <w:rPr>
          <w:rFonts w:ascii="Calibri" w:cs="Calibri" w:eastAsia="Calibri" w:hAnsi="Calibri"/>
          <w:color w:val="000000"/>
          <w:sz w:val="19"/>
          <w:szCs w:val="19"/>
        </w:rPr>
        <w:t xml:space="preserve">Ajustar y leer los cuatro modelos —regresión simple, con covariable, mixto y logístico— sabiendo qué problema arregla cada uno.</w:t>
      </w:r>
    </w:p>
    <w:p>
      <w:pPr>
        <w:pStyle w:val="ListParagraph"/>
        <w:numPr>
          <w:ilvl w:val="0"/>
          <w:numId w:val="1"/>
        </w:numPr>
        <w:spacing w:after="50" w:line="250"/>
        <w:ind w:left="260" w:hanging="200"/>
      </w:pPr>
      <w:r>
        <w:rPr>
          <w:rFonts w:ascii="Calibri" w:cs="Calibri" w:eastAsia="Calibri" w:hAnsi="Calibri"/>
          <w:color w:val="000000"/>
          <w:sz w:val="19"/>
          <w:szCs w:val="19"/>
        </w:rPr>
        <w:t xml:space="preserve">Explicar por qué los ensayos de un mismo participante no son observaciones independientes, y qué cambia en las conclusiones al reconocerlo.</w:t>
      </w:r>
    </w:p>
    <w:p>
      <w:pPr>
        <w:pStyle w:val="ListParagraph"/>
        <w:numPr>
          <w:ilvl w:val="0"/>
          <w:numId w:val="1"/>
        </w:numPr>
        <w:spacing w:after="50" w:line="250"/>
        <w:ind w:left="260" w:hanging="200"/>
      </w:pPr>
      <w:r>
        <w:rPr>
          <w:rFonts w:ascii="Calibri" w:cs="Calibri" w:eastAsia="Calibri" w:hAnsi="Calibri"/>
          <w:color w:val="000000"/>
          <w:sz w:val="19"/>
          <w:szCs w:val="19"/>
        </w:rPr>
        <w:t xml:space="preserve">Distinguir inferencia de predicción y decir qué mide cada una sobre los mismos datos y el mismo modelo.</w:t>
      </w:r>
    </w:p>
    <w:p>
      <w:pPr>
        <w:pStyle w:val="ListParagraph"/>
        <w:numPr>
          <w:ilvl w:val="0"/>
          <w:numId w:val="1"/>
        </w:numPr>
        <w:spacing w:after="50" w:line="250"/>
        <w:ind w:left="260" w:hanging="200"/>
      </w:pPr>
      <w:r>
        <w:rPr>
          <w:rFonts w:ascii="Calibri" w:cs="Calibri" w:eastAsia="Calibri" w:hAnsi="Calibri"/>
          <w:color w:val="000000"/>
          <w:sz w:val="19"/>
          <w:szCs w:val="19"/>
        </w:rPr>
        <w:t xml:space="preserve">Decidir cómo separar una muestra en entrenamiento y prueba según la pregunta que se quiera responder.</w:t>
      </w:r>
    </w:p>
    <w:p>
      <w:pPr>
        <w:keepNext/>
        <w:keepLines/>
        <w:spacing w:after="70" w:before="220"/>
      </w:pPr>
      <w:r>
        <w:rPr>
          <w:rFonts w:ascii="Calibri" w:cs="Calibri" w:eastAsia="Calibri" w:hAnsi="Calibri"/>
          <w:b/>
          <w:bCs/>
          <w:color w:val="1F3864"/>
          <w:sz w:val="22"/>
          <w:szCs w:val="22"/>
        </w:rPr>
        <w:t xml:space="preserve">Notas para el instructor</w:t>
      </w:r>
    </w:p>
    <w:p>
      <w:pPr>
        <w:spacing w:after="90" w:before="0" w:line="250"/>
      </w:pPr>
      <w:r>
        <w:rPr>
          <w:rFonts w:ascii="Calibri" w:cs="Calibri" w:eastAsia="Calibri" w:hAnsi="Calibri"/>
          <w:color w:val="000000"/>
          <w:sz w:val="19"/>
          <w:szCs w:val="19"/>
        </w:rPr>
        <w:t xml:space="preserve">En </w:t>
      </w:r>
      <w:r>
        <w:rPr>
          <w:rFonts w:ascii="Consolas" w:cs="Consolas" w:eastAsia="Consolas" w:hAnsi="Consolas"/>
          <w:color w:val="1F3864"/>
          <w:sz w:val="17"/>
          <w:szCs w:val="17"/>
        </w:rPr>
        <w:t xml:space="preserve">docs/</w:t>
      </w:r>
      <w:r>
        <w:rPr>
          <w:rFonts w:ascii="Calibri" w:cs="Calibri" w:eastAsia="Calibri" w:hAnsi="Calibri"/>
          <w:color w:val="000000"/>
          <w:sz w:val="19"/>
          <w:szCs w:val="19"/>
        </w:rPr>
        <w:t xml:space="preserve"> hay tres documentos de uso interno. </w:t>
      </w:r>
      <w:r>
        <w:rPr>
          <w:rFonts w:ascii="Calibri" w:cs="Calibri" w:eastAsia="Calibri" w:hAnsi="Calibri"/>
          <w:b/>
          <w:bCs/>
          <w:color w:val="000000"/>
          <w:sz w:val="19"/>
          <w:szCs w:val="19"/>
        </w:rPr>
        <w:t xml:space="preserve">guia_docente.md</w:t>
      </w:r>
      <w:r>
        <w:rPr>
          <w:rFonts w:ascii="Calibri" w:cs="Calibri" w:eastAsia="Calibri" w:hAnsi="Calibri"/>
          <w:color w:val="000000"/>
          <w:sz w:val="19"/>
          <w:szCs w:val="19"/>
        </w:rPr>
        <w:t xml:space="preserve"> recorre qué conviene subrayar en cada tramo, las contingencias y las preguntas que suelen salir, con la evidencia de que los datos son simulados por si alguien lo cuestiona. </w:t>
      </w:r>
      <w:r>
        <w:rPr>
          <w:rFonts w:ascii="Calibri" w:cs="Calibri" w:eastAsia="Calibri" w:hAnsi="Calibri"/>
          <w:b/>
          <w:bCs/>
          <w:color w:val="000000"/>
          <w:sz w:val="19"/>
          <w:szCs w:val="19"/>
        </w:rPr>
        <w:t xml:space="preserve">resultados_esperados.md</w:t>
      </w:r>
      <w:r>
        <w:rPr>
          <w:rFonts w:ascii="Calibri" w:cs="Calibri" w:eastAsia="Calibri" w:hAnsi="Calibri"/>
          <w:color w:val="000000"/>
          <w:sz w:val="19"/>
          <w:szCs w:val="19"/>
        </w:rPr>
        <w:t xml:space="preserve"> reúne todas las cifras verificadas, para corregir de un vistazo. </w:t>
      </w:r>
      <w:r>
        <w:rPr>
          <w:rFonts w:ascii="Calibri" w:cs="Calibri" w:eastAsia="Calibri" w:hAnsi="Calibri"/>
          <w:b/>
          <w:bCs/>
          <w:color w:val="000000"/>
          <w:sz w:val="19"/>
          <w:szCs w:val="19"/>
        </w:rPr>
        <w:t xml:space="preserve">publicar.md</w:t>
      </w:r>
      <w:r>
        <w:rPr>
          <w:rFonts w:ascii="Calibri" w:cs="Calibri" w:eastAsia="Calibri" w:hAnsi="Calibri"/>
          <w:color w:val="000000"/>
          <w:sz w:val="19"/>
          <w:szCs w:val="19"/>
        </w:rPr>
        <w:t xml:space="preserve"> explica cómo se subió el material y cómo se añade una clase nueva.</w:t>
      </w:r>
    </w:p>
    <w:p>
      <w:pPr>
        <w:spacing w:after="90" w:before="0" w:line="250"/>
      </w:pPr>
      <w:r>
        <w:rPr>
          <w:rFonts w:ascii="Calibri" w:cs="Calibri" w:eastAsia="Calibri" w:hAnsi="Calibri"/>
          <w:color w:val="000000"/>
          <w:sz w:val="19"/>
          <w:szCs w:val="19"/>
        </w:rPr>
        <w:t xml:space="preserve">Conviene proyectar el enlace del cuaderno 00 al empezar y dejarlo visible: así los problemas de acceso aparecen mientras todavía se está hablando. El comando </w:t>
      </w:r>
      <w:r>
        <w:rPr>
          <w:rFonts w:ascii="Consolas" w:cs="Consolas" w:eastAsia="Consolas" w:hAnsi="Consolas"/>
          <w:color w:val="1F3864"/>
          <w:sz w:val="17"/>
          <w:szCs w:val="17"/>
        </w:rPr>
        <w:t xml:space="preserve">python configurar.py --qr</w:t>
      </w:r>
      <w:r>
        <w:rPr>
          <w:rFonts w:ascii="Calibri" w:cs="Calibri" w:eastAsia="Calibri" w:hAnsi="Calibri"/>
          <w:color w:val="000000"/>
          <w:sz w:val="19"/>
          <w:szCs w:val="19"/>
        </w:rPr>
        <w:t xml:space="preserve"> genera un código QR con ese enlace.</w:t>
      </w:r>
    </w:p>
    <w:p>
      <w:pPr>
        <w:pBdr>
          <w:bottom w:val="single" w:color="BFBFBF" w:sz="4" w:space="6"/>
        </w:pBdr>
        <w:spacing w:after="40"/>
      </w:pPr>
    </w:p>
    <w:p>
      <w:pPr>
        <w:spacing w:after="90" w:before="110" w:line="250"/>
      </w:pPr>
      <w:r>
        <w:rPr>
          <w:rFonts w:ascii="Calibri" w:cs="Calibri" w:eastAsia="Calibri" w:hAnsi="Calibri"/>
          <w:i/>
          <w:iCs/>
          <w:color w:val="595959"/>
          <w:sz w:val="17"/>
          <w:szCs w:val="17"/>
        </w:rPr>
        <w:t xml:space="preserve">El material se actualiza editando el repositorio: el enlace de Colab sirve siempre la versión vigente, así que no hay nada que reenviar. Material docente bajo licencia CC BY 4.0.</w:t>
      </w:r>
    </w:p>
    <w:sectPr>
      <w:pgSz w:w="12240" w:h="15840" w:orient="portrait"/>
      <w:pgMar w:top="11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_v997sb3ibttytq4ofpn" Type="http://schemas.openxmlformats.org/officeDocument/2006/relationships/hyperlink" Target="https://github.com/decostruttivismo/IIC3800-2026-NCC-IA/tree/main/clase-24-agosto" TargetMode="External"/><Relationship Id="rIdgcgkyt9cjtr06qjcckyiu" Type="http://schemas.openxmlformats.org/officeDocument/2006/relationships/hyperlink" Target="https://colab.research.google.com/github/decostruttivismo/IIC3800-2026-NCC-IA/blob/main/clase-24-agosto/notebooks/00_prueba.ipynb" TargetMode="External"/><Relationship Id="rId8qa6ax91dikautpfgh2pv" Type="http://schemas.openxmlformats.org/officeDocument/2006/relationships/hyperlink" Target="https://colab.research.google.com/github/decostruttivismo/IIC3800-2026-NCC-IA/blob/main/clase-24-agosto/notebooks/01_inferencia.ipynb" TargetMode="External"/><Relationship Id="rIdrzhptdojvklennx8ol1os" Type="http://schemas.openxmlformats.org/officeDocument/2006/relationships/hyperlink" Target="https://colab.research.google.com/github/decostruttivismo/IIC3800-2026-NCC-IA/blob/main/clase-24-agosto/notebooks/02_prediccion.ipynb"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2026-08-23T21:27:03.271Z</dcterms:created>
  <dcterms:modified xsi:type="dcterms:W3CDTF">2026-08-23T21:27:03.271Z</dcterms:modified>
</cp:coreProperties>
</file>

<file path=docProps/custom.xml><?xml version="1.0" encoding="utf-8"?>
<Properties xmlns="http://schemas.openxmlformats.org/officeDocument/2006/custom-properties" xmlns:vt="http://schemas.openxmlformats.org/officeDocument/2006/docPropsVTypes"/>
</file>