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Public Sans" w:cs="Public Sans" w:eastAsia="Public Sans" w:hAnsi="Public Sans"/>
          <w:b/>
          <w:bCs/>
          <w:color w:val="7F56D9"/>
          <w:spacing w:val="10"/>
          <w:sz w:val="18"/>
          <w:szCs w:val="18"/>
        </w:rPr>
        <w:t xml:space="preserve">DECOVERAI · DISCOVERY REFERENCE</w:t>
      </w:r>
    </w:p>
    <w:p>
      <w:pPr>
        <w:pBdr>
          <w:bottom w:val="single" w:color="7F56D9" w:sz="16" w:space="8"/>
        </w:pBdr>
        <w:spacing w:after="120" w:before="200"/>
      </w:pPr>
      <w:r>
        <w:rPr>
          <w:rFonts w:ascii="Public Sans" w:cs="Public Sans" w:eastAsia="Public Sans" w:hAnsi="Public Sans"/>
          <w:b/>
          <w:bCs/>
          <w:color w:val="1A1A1A"/>
          <w:sz w:val="48"/>
          <w:szCs w:val="48"/>
        </w:rPr>
        <w:t xml:space="preserve">Attorney-client privilege definition</w:t>
      </w:r>
    </w:p>
    <w:p>
      <w:pPr>
        <w:spacing w:after="140" w:line="276"/>
      </w:pPr>
      <w:r>
        <w:rPr>
          <w:rFonts w:ascii="Public Sans" w:cs="Public Sans" w:eastAsia="Public Sans" w:hAnsi="Public Sans"/>
          <w:color w:val="1A1A1A"/>
          <w:sz w:val="22"/>
          <w:szCs w:val="22"/>
        </w:rPr>
        <w:t xml:space="preserve">Cascade Timber Holdings, Inc.</w:t>
      </w:r>
    </w:p>
    <w:tbl>
      <w:tblPr>
        <w:tblW w:type="pct" w:w="100%"/>
        <w:tblBorders>
          <w:top w:val="single" w:color="E9D7FE" w:sz="4"/>
          <w:left w:val="single" w:color="E9D7FE" w:sz="4"/>
          <w:bottom w:val="single" w:color="E9D7FE" w:sz="4"/>
          <w:right w:val="single" w:color="E9D7FE" w:sz="4"/>
          <w:insideH w:val="single" w:color="E9D7FE" w:sz="2"/>
          <w:insideV w:val="single" w:color="E9D7FE" w:sz="2"/>
        </w:tblBorders>
      </w:tblPr>
      <w:tblGrid>
        <w:gridCol w:w="2800"/>
        <w:gridCol w:w="7200"/>
      </w:tblGrid>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Matter</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IRS Examination — Coastal Solar Credit Program</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Issued to</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Cascade Timber Holdings, Inc., Attn: Legal Department, Portland, OR 97204</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Issuing agency</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Internal Revenue Service, Examination Division</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Case no.</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EX-2023-04471</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Date issued</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May 23, 2023</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Response due</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June 13, 2023 (21 days)</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Revenue agent</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Kevin Tran</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Version</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v1.0 — prepared July 16, 2026</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 Applicable matter</w:t>
      </w:r>
    </w:p>
    <w:p>
      <w:pPr>
        <w:spacing w:after="140" w:line="276"/>
      </w:pPr>
      <w:r>
        <w:rPr>
          <w:rFonts w:ascii="Public Sans" w:cs="Public Sans" w:eastAsia="Public Sans" w:hAnsi="Public Sans"/>
          <w:color w:val="1A1A1A"/>
          <w:sz w:val="22"/>
          <w:szCs w:val="22"/>
        </w:rPr>
        <w:t xml:space="preserve">This definition applies to the IRS's examination of Cascade Timber Holdings, Inc. ("CTH" or "the Company") in connection with the Coastal Solar Credit Program (the "Program"), a renewable-energy / land-conservation tax credit program administered by Alder Point Partners and, for a period, brokered by Bellhaven Advisory.</w:t>
      </w:r>
    </w:p>
    <w:p>
      <w:pPr>
        <w:spacing w:after="140" w:line="276"/>
      </w:pPr>
      <w:r>
        <w:rPr>
          <w:rFonts w:ascii="Public Sans" w:cs="Public Sans" w:eastAsia="Public Sans" w:hAnsi="Public Sans"/>
          <w:b/>
          <w:bCs/>
          <w:color w:val="1A1A1A"/>
          <w:sz w:val="22"/>
          <w:szCs w:val="22"/>
        </w:rPr>
        <w:t xml:space="preserve">"The Program"</w:t>
      </w:r>
      <w:r>
        <w:rPr>
          <w:rFonts w:ascii="Public Sans" w:cs="Public Sans" w:eastAsia="Public Sans" w:hAnsi="Public Sans"/>
          <w:color w:val="1A1A1A"/>
          <w:sz w:val="22"/>
          <w:szCs w:val="22"/>
        </w:rPr>
        <w:t xml:space="preserve"> means the Coastal Solar Credit Program in its entirety, including credit origination, land-parcel eligibility determinations, marketing and broker placement activity, and related investor, banking, and tax records.</w:t>
      </w:r>
    </w:p>
    <w:p>
      <w:pPr>
        <w:spacing w:after="140" w:line="276"/>
      </w:pPr>
      <w:r>
        <w:rPr>
          <w:rFonts w:ascii="Public Sans" w:cs="Public Sans" w:eastAsia="Public Sans" w:hAnsi="Public Sans"/>
          <w:color w:val="1A1A1A"/>
          <w:sz w:val="22"/>
          <w:szCs w:val="22"/>
        </w:rPr>
        <w:t xml:space="preserve">Where the subpoena's scope differs from the privilege analysis below, refer to the Responsiveness Definition for scope-specific guidance. Privilege and responsiveness are assessed independently (Section VI).</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II. Legal standard</w:t>
      </w:r>
    </w:p>
    <w:p>
      <w:pPr>
        <w:spacing w:after="140" w:line="276"/>
      </w:pPr>
      <w:r>
        <w:rPr>
          <w:rFonts w:ascii="Public Sans" w:cs="Public Sans" w:eastAsia="Public Sans" w:hAnsi="Public Sans"/>
          <w:color w:val="1A1A1A"/>
          <w:sz w:val="22"/>
          <w:szCs w:val="22"/>
        </w:rPr>
        <w:t xml:space="preserve">A document is protected by attorney-client privilege when all three of the following elements are satisfied. All three are mandatory — satisfying one or two is not sufficient.</w:t>
      </w:r>
    </w:p>
    <w:p>
      <w:pPr>
        <w:spacing w:after="80" w:before="240"/>
      </w:pPr>
      <w:r>
        <w:rPr>
          <w:rFonts w:ascii="Public Sans" w:cs="Public Sans" w:eastAsia="Public Sans" w:hAnsi="Public Sans"/>
          <w:b/>
          <w:bCs/>
          <w:color w:val="7F56D9"/>
          <w:sz w:val="26"/>
          <w:szCs w:val="26"/>
        </w:rPr>
        <w:t xml:space="preserve">A. Confidential communication</w:t>
      </w:r>
    </w:p>
    <w:p>
      <w:pPr>
        <w:spacing w:after="140" w:line="276"/>
      </w:pPr>
      <w:r>
        <w:rPr>
          <w:rFonts w:ascii="Public Sans" w:cs="Public Sans" w:eastAsia="Public Sans" w:hAnsi="Public Sans"/>
          <w:color w:val="1A1A1A"/>
          <w:sz w:val="22"/>
          <w:szCs w:val="22"/>
        </w:rPr>
        <w:t xml:space="preserve">The communication was made with the intention of confidentiality and has been kept private. Sharing it with, or making it in the presence of, anyone outside the privileged circle defined in Section III generally destroys the privilege.</w:t>
      </w:r>
    </w:p>
    <w:p>
      <w:pPr>
        <w:spacing w:after="80" w:before="240"/>
      </w:pPr>
      <w:r>
        <w:rPr>
          <w:rFonts w:ascii="Public Sans" w:cs="Public Sans" w:eastAsia="Public Sans" w:hAnsi="Public Sans"/>
          <w:b/>
          <w:bCs/>
          <w:color w:val="7F56D9"/>
          <w:sz w:val="26"/>
          <w:szCs w:val="26"/>
        </w:rPr>
        <w:t xml:space="preserve">B. Between privileged persons</w:t>
      </w:r>
    </w:p>
    <w:p>
      <w:pPr>
        <w:spacing w:after="140" w:line="276"/>
      </w:pPr>
      <w:r>
        <w:rPr>
          <w:rFonts w:ascii="Public Sans" w:cs="Public Sans" w:eastAsia="Public Sans" w:hAnsi="Public Sans"/>
          <w:color w:val="1A1A1A"/>
          <w:sz w:val="22"/>
          <w:szCs w:val="22"/>
        </w:rPr>
        <w:t xml:space="preserve">The communication occurred between CTH (acting through its personnel) and its attorneys, or the attorneys' agents (paralegals, associates, or other agents retained to assist with legal work). Being between privileged persons alone does not establish privilege — the purpose element (Section II.C) must independently be satisfied.</w:t>
      </w:r>
    </w:p>
    <w:p>
      <w:pPr>
        <w:spacing w:after="80" w:before="240"/>
      </w:pPr>
      <w:r>
        <w:rPr>
          <w:rFonts w:ascii="Public Sans" w:cs="Public Sans" w:eastAsia="Public Sans" w:hAnsi="Public Sans"/>
          <w:b/>
          <w:bCs/>
          <w:color w:val="7F56D9"/>
          <w:sz w:val="26"/>
          <w:szCs w:val="26"/>
        </w:rPr>
        <w:t xml:space="preserve">C. For the primary purpose of legal advice</w:t>
      </w:r>
    </w:p>
    <w:p>
      <w:pPr>
        <w:spacing w:after="140" w:line="276"/>
      </w:pPr>
      <w:r>
        <w:rPr>
          <w:rFonts w:ascii="Public Sans" w:cs="Public Sans" w:eastAsia="Public Sans" w:hAnsi="Public Sans"/>
          <w:color w:val="1A1A1A"/>
          <w:sz w:val="22"/>
          <w:szCs w:val="22"/>
        </w:rPr>
        <w:t xml:space="preserve">The primary reason for the communication was to seek or provide legal assistance. This is presumed for substantive communications between CTH personnel and its counsel, unless the communication primarily relates to:</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Business, operational, or financial matters (e.g., budget approvals, staffing, scheduling)</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Administrative transmittals with no legal analysis (e.g., "here's the engagement letter," "please sign and return")</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Preservation/compliance directives issued company-wide (e.g., legal hold notices — see Rule V.C)</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Factual reporting that has not yet been analyzed or advised upon by counsel (see Rule V.B)</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III. Privileged parties in this matter</w:t>
      </w:r>
    </w:p>
    <w:p>
      <w:pPr>
        <w:spacing w:after="140" w:line="276"/>
      </w:pPr>
      <w:r>
        <w:rPr>
          <w:rFonts w:ascii="Public Sans" w:cs="Public Sans" w:eastAsia="Public Sans" w:hAnsi="Public Sans"/>
          <w:b/>
          <w:bCs/>
          <w:color w:val="1A1A1A"/>
          <w:sz w:val="22"/>
          <w:szCs w:val="22"/>
        </w:rPr>
        <w:t xml:space="preserve">In-house counsel:</w:t>
      </w:r>
      <w:r>
        <w:rPr>
          <w:rFonts w:ascii="Public Sans" w:cs="Public Sans" w:eastAsia="Public Sans" w:hAnsi="Public Sans"/>
          <w:color w:val="1A1A1A"/>
          <w:sz w:val="22"/>
          <w:szCs w:val="22"/>
        </w:rPr>
        <w:t xml:space="preserve"> John Ellery, Head of Legal, Cascade Timber Holdings.</w:t>
      </w:r>
    </w:p>
    <w:p>
      <w:pPr>
        <w:spacing w:after="140" w:line="276"/>
      </w:pPr>
      <w:r>
        <w:rPr>
          <w:rFonts w:ascii="Public Sans" w:cs="Public Sans" w:eastAsia="Public Sans" w:hAnsi="Public Sans"/>
          <w:b/>
          <w:bCs/>
          <w:color w:val="1A1A1A"/>
          <w:sz w:val="22"/>
          <w:szCs w:val="22"/>
        </w:rPr>
        <w:t xml:space="preserve">Outside counsel:</w:t>
      </w:r>
      <w:r>
        <w:rPr>
          <w:rFonts w:ascii="Public Sans" w:cs="Public Sans" w:eastAsia="Public Sans" w:hAnsi="Public Sans"/>
          <w:color w:val="1A1A1A"/>
          <w:sz w:val="22"/>
          <w:szCs w:val="22"/>
        </w:rPr>
        <w:t xml:space="preserve"> L&amp;L Associates, formally engaged February 24, 2023 [EMAIL-021] to advise on the internal review of the Program following the whistleblower complaint.</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Grace Lin — Partner</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Mia Chen — Associate</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Alan Brooks — Paralegal</w:t>
      </w:r>
    </w:p>
    <w:p>
      <w:pPr>
        <w:spacing w:after="140" w:line="276"/>
      </w:pPr>
      <w:r>
        <w:rPr>
          <w:rFonts w:ascii="Public Sans" w:cs="Public Sans" w:eastAsia="Public Sans" w:hAnsi="Public Sans"/>
          <w:b/>
          <w:bCs/>
          <w:color w:val="1A1A1A"/>
          <w:sz w:val="22"/>
          <w:szCs w:val="22"/>
        </w:rPr>
        <w:t xml:space="preserve">Client organization (Cascade Timber Holdings personnel):</w:t>
      </w:r>
      <w:r>
        <w:rPr>
          <w:rFonts w:ascii="Public Sans" w:cs="Public Sans" w:eastAsia="Public Sans" w:hAnsi="Public Sans"/>
          <w:color w:val="1A1A1A"/>
          <w:sz w:val="22"/>
          <w:szCs w:val="22"/>
        </w:rPr>
        <w:t xml:space="preserve"> Elena Marlowe (CEO), Robert Denniston (CFO), Sarah Nguyen (Chief Compliance Officer), Marcus Webb (Board Chair), Frank Delgado (VP Investor Relations), Craig Sato (Controller), Dan Osei (IT Director), Wendy Park (HR Director), and CTH's Board of Directors.</w:t>
      </w:r>
    </w:p>
    <w:p>
      <w:pPr>
        <w:spacing w:after="140" w:line="276"/>
      </w:pPr>
      <w:r>
        <w:rPr>
          <w:rFonts w:ascii="Public Sans" w:cs="Public Sans" w:eastAsia="Public Sans" w:hAnsi="Public Sans"/>
          <w:color w:val="1A1A1A"/>
          <w:sz w:val="22"/>
          <w:szCs w:val="22"/>
        </w:rPr>
        <w:t xml:space="preserve">Any attorney above can independently create a privileged communication with any member of the client organization. No single attorney's presence is required to establish privilege — the analysis runs off the roles above, not any one person's name.</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IV. Non-privileged third parties</w:t>
      </w:r>
    </w:p>
    <w:p>
      <w:pPr>
        <w:spacing w:after="140" w:line="276"/>
      </w:pPr>
      <w:r>
        <w:rPr>
          <w:rFonts w:ascii="Public Sans" w:cs="Public Sans" w:eastAsia="Public Sans" w:hAnsi="Public Sans"/>
          <w:color w:val="1A1A1A"/>
          <w:sz w:val="22"/>
          <w:szCs w:val="22"/>
        </w:rPr>
        <w:t xml:space="preserve">Alder Point Partners and Bellhaven Advisory are separate companies, not part of CTH's privileged circle. Their personnel are not counsel for CTH or for each other in this matter:</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Alder Point Partners: Priya Shah, Tom Reyes, Jay Whitfield (aka "Kane"), Nina Alvarez</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Bellhaven Advisory: Derek Holt, Renee Ford</w:t>
      </w:r>
    </w:p>
    <w:p>
      <w:pPr>
        <w:spacing w:after="140" w:line="276"/>
      </w:pPr>
      <w:r>
        <w:rPr>
          <w:rFonts w:ascii="Public Sans" w:cs="Public Sans" w:eastAsia="Public Sans" w:hAnsi="Public Sans"/>
          <w:color w:val="1A1A1A"/>
          <w:sz w:val="22"/>
          <w:szCs w:val="22"/>
        </w:rPr>
        <w:t xml:space="preserve">Their presence on an otherwise-privileged CTH email (e.g., Ellery or L&amp;L Associates on the thread) vitiates privilege for that communication. There is no joint-defense or common-interest agreement between CTH and Alder Point Partners or Bellhaven in this matter — to the contrary, CTH's internal review examines whether Alder Point's and Bellhaven's own conduct exposed CTH to liability, so their interests are not aligned with CTH's for privilege purposes.</w:t>
      </w:r>
    </w:p>
    <w:p>
      <w:pPr>
        <w:spacing w:after="140" w:line="276"/>
      </w:pPr>
      <w:r>
        <w:rPr>
          <w:rFonts w:ascii="Public Sans" w:cs="Public Sans" w:eastAsia="Public Sans" w:hAnsi="Public Sans"/>
          <w:color w:val="1A1A1A"/>
          <w:sz w:val="22"/>
          <w:szCs w:val="22"/>
        </w:rPr>
        <w:t xml:space="preserve">GreenAcre Land Survey Co. is an independent third-party vendor; its survey findings are not privileged merely because they were later relied upon in CTH's internal review (see the Work Product Definition, Section III, on fact work product commissioned in anticipation of litigation).</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V. Practical rules and worked examples</w:t>
      </w:r>
    </w:p>
    <w:p>
      <w:pPr>
        <w:spacing w:after="80" w:before="240"/>
      </w:pPr>
      <w:r>
        <w:rPr>
          <w:rFonts w:ascii="Public Sans" w:cs="Public Sans" w:eastAsia="Public Sans" w:hAnsi="Public Sans"/>
          <w:b/>
          <w:bCs/>
          <w:color w:val="7F56D9"/>
          <w:sz w:val="26"/>
          <w:szCs w:val="26"/>
        </w:rPr>
        <w:t xml:space="preserve">A. Document markings are a starting signal, not the answer</w:t>
      </w:r>
    </w:p>
    <w:p>
      <w:pPr>
        <w:spacing w:after="140" w:line="276"/>
      </w:pPr>
      <w:r>
        <w:rPr>
          <w:rFonts w:ascii="Public Sans" w:cs="Public Sans" w:eastAsia="Public Sans" w:hAnsi="Public Sans"/>
          <w:color w:val="1A1A1A"/>
          <w:sz w:val="22"/>
          <w:szCs w:val="22"/>
        </w:rPr>
        <w:t xml:space="preserve">In this collection, documents carrying an </w:t>
      </w:r>
      <w:r>
        <w:rPr>
          <w:rFonts w:ascii="Public Sans" w:cs="Public Sans" w:eastAsia="Public Sans" w:hAnsi="Public Sans"/>
          <w:b/>
          <w:bCs/>
          <w:color w:val="1A1A1A"/>
          <w:sz w:val="22"/>
          <w:szCs w:val="22"/>
        </w:rPr>
        <w:t xml:space="preserve">X-Decover-Privileged: Yes</w:t>
      </w:r>
      <w:r>
        <w:rPr>
          <w:rFonts w:ascii="Public Sans" w:cs="Public Sans" w:eastAsia="Public Sans" w:hAnsi="Public Sans"/>
          <w:color w:val="1A1A1A"/>
          <w:sz w:val="22"/>
          <w:szCs w:val="22"/>
        </w:rPr>
        <w:t xml:space="preserve"> header and an in-body privilege banner are reliably privileged — but always confirm against the substance of Section II rather than relying on the marking alone. A marking with no actual legal advice in the body would not be privileged in a real-world review.</w:t>
      </w:r>
    </w:p>
    <w:p>
      <w:pPr>
        <w:spacing w:after="80" w:before="240"/>
      </w:pPr>
      <w:r>
        <w:rPr>
          <w:rFonts w:ascii="Public Sans" w:cs="Public Sans" w:eastAsia="Public Sans" w:hAnsi="Public Sans"/>
          <w:b/>
          <w:bCs/>
          <w:color w:val="7F56D9"/>
          <w:sz w:val="26"/>
          <w:szCs w:val="26"/>
        </w:rPr>
        <w:t xml:space="preserve">B. Factual reporting is not yet legal advice</w:t>
      </w:r>
    </w:p>
    <w:p>
      <w:pPr>
        <w:spacing w:after="140" w:line="276"/>
      </w:pPr>
      <w:r>
        <w:rPr>
          <w:rFonts w:ascii="Public Sans" w:cs="Public Sans" w:eastAsia="Public Sans" w:hAnsi="Public Sans"/>
          <w:color w:val="1A1A1A"/>
          <w:sz w:val="22"/>
          <w:szCs w:val="22"/>
        </w:rPr>
        <w:t xml:space="preserve">A report that triggers a later privileged response is not itself privileged if it contains no legal advice.</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color w:val="1A1A1A"/>
                <w:sz w:val="21"/>
                <w:szCs w:val="21"/>
              </w:rPr>
              <w:t xml:space="preserve">[EMAIL-019] (Sarah Nguyen to John Ellery and Elena Marlowe, reporting the whistleblower complaint and recommending an internal review) is factual reporting — not privileged. [EMAIL-020], Ellery's response the next day providing legal advice "in anticipation of potential regulatory inquiry," is privileged.</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C. Legal hold notices are administrative, not privileged</w:t>
      </w:r>
    </w:p>
    <w:p>
      <w:pPr>
        <w:spacing w:after="140" w:line="276"/>
      </w:pPr>
      <w:r>
        <w:rPr>
          <w:rFonts w:ascii="Public Sans" w:cs="Public Sans" w:eastAsia="Public Sans" w:hAnsi="Public Sans"/>
          <w:color w:val="1A1A1A"/>
          <w:sz w:val="22"/>
          <w:szCs w:val="22"/>
        </w:rPr>
        <w:t xml:space="preserve">[EMAIL-024], the company-wide legal hold notice sent by Ellery, is a preservation directive, not a confidential communication seeking or giving legal advice — even though it originates from counsel and concerns the matter under review. Treat legal hold notices the same as engagement letters and invoices (Rule V.D): administrative, not privileged.</w:t>
      </w:r>
    </w:p>
    <w:p>
      <w:pPr>
        <w:spacing w:after="80" w:before="240"/>
      </w:pPr>
      <w:r>
        <w:rPr>
          <w:rFonts w:ascii="Public Sans" w:cs="Public Sans" w:eastAsia="Public Sans" w:hAnsi="Public Sans"/>
          <w:b/>
          <w:bCs/>
          <w:color w:val="7F56D9"/>
          <w:sz w:val="26"/>
          <w:szCs w:val="26"/>
        </w:rPr>
        <w:t xml:space="preserve">D. Engagement letters are administrative; the cover email may not be</w:t>
      </w:r>
    </w:p>
    <w:p>
      <w:pPr>
        <w:spacing w:after="140" w:line="276"/>
      </w:pPr>
      <w:r>
        <w:rPr>
          <w:rFonts w:ascii="Public Sans" w:cs="Public Sans" w:eastAsia="Public Sans" w:hAnsi="Public Sans"/>
          <w:color w:val="1A1A1A"/>
          <w:sz w:val="22"/>
          <w:szCs w:val="22"/>
        </w:rPr>
        <w:t xml:space="preserve">The </w:t>
      </w:r>
      <w:r>
        <w:rPr>
          <w:rFonts w:ascii="Public Sans" w:cs="Public Sans" w:eastAsia="Public Sans" w:hAnsi="Public Sans"/>
          <w:b/>
          <w:bCs/>
          <w:color w:val="1A1A1A"/>
          <w:sz w:val="22"/>
          <w:szCs w:val="22"/>
        </w:rPr>
        <w:t xml:space="preserve">LL_Associates_Engagement_Letter.pdf</w:t>
      </w:r>
      <w:r>
        <w:rPr>
          <w:rFonts w:ascii="Public Sans" w:cs="Public Sans" w:eastAsia="Public Sans" w:hAnsi="Public Sans"/>
          <w:color w:val="1A1A1A"/>
          <w:sz w:val="22"/>
          <w:szCs w:val="22"/>
        </w:rPr>
        <w:t xml:space="preserve"> attachment is an administrative business record describing the terms of retention — not privileged by itself.</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color w:val="1A1A1A"/>
                <w:sz w:val="21"/>
                <w:szCs w:val="21"/>
              </w:rPr>
              <w:t xml:space="preserve">Evaluate the cover email independently: [EMAIL-021] (Ellery formally engaging Grace Lin and directing that related communications be treated as privileged) itself reflects a request for legal services and is privileged, even though the attached letter is not. Each family member is assessed on its own content (Rule V.F).</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E. Legal strategy discussion is privileged even when it touches budget</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color w:val="1A1A1A"/>
                <w:sz w:val="21"/>
                <w:szCs w:val="21"/>
              </w:rPr>
              <w:t xml:space="preserve">[EMAIL-026] (Robert Denniston to Elena Marlowe, questioning L&amp;L's cost estimate) has no attorney on the thread and is not privileged. [EMAIL-027], Ellery's reply — which discusses review approach and a faster review methodology to hit budget and the subpoena deadline — is privileged: an attorney is a participant, and the content reflects legal strategy for structuring the review, not mere administrative budgeting.</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F. Document family independence</w:t>
      </w:r>
    </w:p>
    <w:p>
      <w:pPr>
        <w:spacing w:after="140" w:line="276"/>
      </w:pPr>
      <w:r>
        <w:rPr>
          <w:rFonts w:ascii="Public Sans" w:cs="Public Sans" w:eastAsia="Public Sans" w:hAnsi="Public Sans"/>
          <w:color w:val="1A1A1A"/>
          <w:sz w:val="22"/>
          <w:szCs w:val="22"/>
        </w:rPr>
        <w:t xml:space="preserve">Each item in a document family (email plus attachments) is evaluated on its own content. A privileged cover email does not automatically make an attachment privileged, and vice versa. Apply this whenever an email attaches a spreadsheet, deck, or PDF — assess the attachment's own content for legal advice independent of the cover email.</w:t>
      </w:r>
    </w:p>
    <w:p>
      <w:pPr>
        <w:spacing w:after="80" w:before="240"/>
      </w:pPr>
      <w:r>
        <w:rPr>
          <w:rFonts w:ascii="Public Sans" w:cs="Public Sans" w:eastAsia="Public Sans" w:hAnsi="Public Sans"/>
          <w:b/>
          <w:bCs/>
          <w:color w:val="7F56D9"/>
          <w:sz w:val="26"/>
          <w:szCs w:val="26"/>
        </w:rPr>
        <w:t xml:space="preserve">G. No attorney involved means no privilege</w:t>
      </w:r>
    </w:p>
    <w:p>
      <w:pPr>
        <w:spacing w:after="140" w:line="276"/>
      </w:pPr>
      <w:r>
        <w:rPr>
          <w:rFonts w:ascii="Public Sans" w:cs="Public Sans" w:eastAsia="Public Sans" w:hAnsi="Public Sans"/>
          <w:color w:val="1A1A1A"/>
          <w:sz w:val="22"/>
          <w:szCs w:val="22"/>
        </w:rPr>
        <w:t xml:space="preserve">If no CTH attorney (Ellery) and no L&amp;L Associates attorney or agent participates in a communication — even if the subject matter is the Program or the internal review — the communication cannot be privileged. The topic alone does not create privilege.</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VI. The Kovel agent doctrine</w:t>
      </w:r>
    </w:p>
    <w:p>
      <w:pPr>
        <w:spacing w:after="80" w:before="240"/>
      </w:pPr>
      <w:r>
        <w:rPr>
          <w:rFonts w:ascii="Public Sans" w:cs="Public Sans" w:eastAsia="Public Sans" w:hAnsi="Public Sans"/>
          <w:b/>
          <w:bCs/>
          <w:color w:val="7F56D9"/>
          <w:sz w:val="26"/>
          <w:szCs w:val="26"/>
        </w:rPr>
        <w:t xml:space="preserve">A. Legal standard</w:t>
      </w:r>
    </w:p>
    <w:p>
      <w:pPr>
        <w:spacing w:after="140" w:line="276"/>
      </w:pPr>
      <w:r>
        <w:rPr>
          <w:rFonts w:ascii="Public Sans" w:cs="Public Sans" w:eastAsia="Public Sans" w:hAnsi="Public Sans"/>
          <w:color w:val="1A1A1A"/>
          <w:sz w:val="22"/>
          <w:szCs w:val="22"/>
        </w:rPr>
        <w:t xml:space="preserve">Under *United States v. Kovel*, 296 F.2d 918 (2d Cir. 1961), attorney-client privilege can extend to communications with a non-lawyer third party who is retained </w:t>
      </w:r>
      <w:r>
        <w:rPr>
          <w:rFonts w:ascii="Public Sans" w:cs="Public Sans" w:eastAsia="Public Sans" w:hAnsi="Public Sans"/>
          <w:b/>
          <w:bCs/>
          <w:color w:val="1A1A1A"/>
          <w:sz w:val="22"/>
          <w:szCs w:val="22"/>
        </w:rPr>
        <w:t xml:space="preserve">by the attorney</w:t>
      </w:r>
      <w:r>
        <w:rPr>
          <w:rFonts w:ascii="Public Sans" w:cs="Public Sans" w:eastAsia="Public Sans" w:hAnsi="Public Sans"/>
          <w:color w:val="1A1A1A"/>
          <w:sz w:val="22"/>
          <w:szCs w:val="22"/>
        </w:rPr>
        <w:t xml:space="preserve"> (not the client) to help the attorney render legal advice — for example, an accountant retained by counsel to translate financial data into terms the attorney can use to give legal advice. The doctrine does not create a freestanding privilege for the third party; it treats the third party as functionally part of the attorney's team for the limited purpose of facilitating legal advice.</w:t>
      </w:r>
    </w:p>
    <w:p>
      <w:pPr>
        <w:spacing w:after="140" w:line="276"/>
      </w:pPr>
      <w:r>
        <w:rPr>
          <w:rFonts w:ascii="Public Sans" w:cs="Public Sans" w:eastAsia="Public Sans" w:hAnsi="Public Sans"/>
          <w:color w:val="1A1A1A"/>
          <w:sz w:val="22"/>
          <w:szCs w:val="22"/>
        </w:rPr>
        <w:t xml:space="preserve">A person or vendor qualifies as a Kovel agent only if all of the following are true:</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Retained by the attorney (or at the attorney's direction), not retained directly by the client for an independent business purpose</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The vendor's role is to help the attorney understand facts or perform tasks necessary to render legal advice, not to provide the client with ordinary business, operational, or compliance services</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The communications at issue are within the scope of that legal-facilitation role, not general business correspondence that happens to pass through the vendor</w:t>
      </w:r>
    </w:p>
    <w:p>
      <w:pPr>
        <w:spacing w:after="140" w:line="276"/>
      </w:pPr>
      <w:r>
        <w:rPr>
          <w:rFonts w:ascii="Public Sans" w:cs="Public Sans" w:eastAsia="Public Sans" w:hAnsi="Public Sans"/>
          <w:color w:val="1A1A1A"/>
          <w:sz w:val="22"/>
          <w:szCs w:val="22"/>
        </w:rPr>
        <w:t xml:space="preserve">Do not presume Kovel status from a vendor's mere presence on a Program-related communication. The presumption runs the other way: absent evidence the vendor was engaged by counsel to facilitate legal advice, treat the vendor as an ordinary third party whose presence vitiates privilege under Section IV.</w:t>
      </w:r>
    </w:p>
    <w:p>
      <w:pPr>
        <w:spacing w:after="80" w:before="240"/>
      </w:pPr>
      <w:r>
        <w:rPr>
          <w:rFonts w:ascii="Public Sans" w:cs="Public Sans" w:eastAsia="Public Sans" w:hAnsi="Public Sans"/>
          <w:b/>
          <w:bCs/>
          <w:color w:val="7F56D9"/>
          <w:sz w:val="26"/>
          <w:szCs w:val="26"/>
        </w:rPr>
        <w:t xml:space="preserve">B. Worked example — the two "M2" vendors</w:t>
      </w:r>
    </w:p>
    <w:p>
      <w:pPr>
        <w:spacing w:after="140" w:line="276"/>
      </w:pPr>
      <w:r>
        <w:rPr>
          <w:rFonts w:ascii="Public Sans" w:cs="Public Sans" w:eastAsia="Public Sans" w:hAnsi="Public Sans"/>
          <w:color w:val="1A1A1A"/>
          <w:sz w:val="22"/>
          <w:szCs w:val="22"/>
        </w:rPr>
        <w:t xml:space="preserve">This matter involves two same-named vendors that must not be conflated. They are organizationally unrelated and serve opposite roles under the Kovel analysis:</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M2 DISCOVERY — A KOVEL AGENT</w:t>
            </w:r>
          </w:p>
          <w:p>
            <w:pPr>
              <w:spacing w:after="0" w:line="270"/>
            </w:pPr>
            <w:r>
              <w:rPr>
                <w:rFonts w:ascii="Public Sans" w:cs="Public Sans" w:eastAsia="Public Sans" w:hAnsi="Public Sans"/>
                <w:color w:val="1A1A1A"/>
                <w:sz w:val="21"/>
                <w:szCs w:val="21"/>
              </w:rPr>
              <w:t xml:space="preserve">M2 Discovery is the document-review and technology-assisted-review (TAR) platform retained by </w:t>
            </w:r>
            <w:r>
              <w:rPr>
                <w:rFonts w:ascii="Public Sans" w:cs="Public Sans" w:eastAsia="Public Sans" w:hAnsi="Public Sans"/>
                <w:b/>
                <w:bCs/>
                <w:color w:val="1A1A1A"/>
                <w:sz w:val="21"/>
                <w:szCs w:val="21"/>
              </w:rPr>
              <w:t xml:space="preserve">L&amp;L Associates</w:t>
            </w:r>
            <w:r>
              <w:rPr>
                <w:rFonts w:ascii="Public Sans" w:cs="Public Sans" w:eastAsia="Public Sans" w:hAnsi="Public Sans"/>
                <w:color w:val="1A1A1A"/>
                <w:sz w:val="21"/>
                <w:szCs w:val="21"/>
              </w:rPr>
              <w:t xml:space="preserve"> to support the internal review of the Program. [EMAIL-027] (Ellery's "faster review approach" discussion with Denniston and Marlowe) reflects L&amp;L Associates' use of M2 Discovery's TAR workflow to meet the review budget and the subpoena deadline. Because M2 Discovery is retained by counsel to facilitate the legal review — not by CTH for an independent business purpose — its personnel's participation in review-strategy communications with L&amp;L Associates does not vitiate privilege, and such communications may independently qualify as work product (see the Work Product Definition, Section IV.C, on vendor work performed at counsel's direction).</w:t>
            </w:r>
          </w:p>
        </w:tc>
      </w:tr>
    </w:tbl>
    <w:p>
      <w:pPr>
        <w:spacing w:after="160"/>
      </w:pPr>
      <w:r>
        <w:rPr>
          <w:sz w:val="2"/>
          <w:szCs w:val="2"/>
        </w:rPr>
        <w:t xml:space="preserve"/>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M2 COMPLIANCE — NOT A KOVEL AGENT</w:t>
            </w:r>
          </w:p>
          <w:p>
            <w:pPr>
              <w:spacing w:after="0" w:line="270"/>
            </w:pPr>
            <w:r>
              <w:rPr>
                <w:rFonts w:ascii="Public Sans" w:cs="Public Sans" w:eastAsia="Public Sans" w:hAnsi="Public Sans"/>
                <w:color w:val="1A1A1A"/>
                <w:sz w:val="21"/>
                <w:szCs w:val="21"/>
              </w:rPr>
              <w:t xml:space="preserve">M2 Compliance is a separate state tax-credit filing and registration vendor retained directly by </w:t>
            </w:r>
            <w:r>
              <w:rPr>
                <w:rFonts w:ascii="Public Sans" w:cs="Public Sans" w:eastAsia="Public Sans" w:hAnsi="Public Sans"/>
                <w:b/>
                <w:bCs/>
                <w:color w:val="1A1A1A"/>
                <w:sz w:val="21"/>
                <w:szCs w:val="21"/>
              </w:rPr>
              <w:t xml:space="preserve">Alder Point Partners</w:t>
            </w:r>
            <w:r>
              <w:rPr>
                <w:rFonts w:ascii="Public Sans" w:cs="Public Sans" w:eastAsia="Public Sans" w:hAnsi="Public Sans"/>
                <w:color w:val="1A1A1A"/>
                <w:sz w:val="21"/>
                <w:szCs w:val="21"/>
              </w:rPr>
              <w:t xml:space="preserve"> on the business side to prepare and file ongoing state renewable-energy credit certifications. It was not retained by any attorney and does not facilitate legal advice — it performs ordinary business filing work. M2 Compliance's presence on a communication (e.g., a routine state filing status update) does not support a privilege claim even though the subject matter is the Program. If M2 Compliance appears on a thread that also includes Ellery or L&amp;L Associates, apply Section IV: M2 Compliance is a non-Kovel third party, and its presence vitiates ACP for that communication.</w:t>
            </w:r>
          </w:p>
        </w:tc>
      </w:tr>
    </w:tbl>
    <w:p>
      <w:pPr>
        <w:spacing w:after="160"/>
      </w:pPr>
      <w:r>
        <w:rPr>
          <w:sz w:val="2"/>
          <w:szCs w:val="2"/>
        </w:rPr>
        <w:t xml:space="preserve"/>
      </w:r>
    </w:p>
    <w:tbl>
      <w:tblPr>
        <w:tblW w:type="pct" w:w="100%"/>
        <w:tblBorders>
          <w:top w:val="single" w:color="7F56D9" w:sz="4"/>
          <w:left w:val="single" w:color="7F56D9" w:sz="4"/>
          <w:bottom w:val="single" w:color="7F56D9" w:sz="4"/>
          <w:right w:val="single" w:color="7F56D9" w:sz="4"/>
          <w:insideH w:val="single" w:color="auto" w:sz="4"/>
          <w:insideV w:val="single" w:color="auto" w:sz="4"/>
        </w:tblBorders>
      </w:tblPr>
      <w:tblGrid>
        <w:gridCol w:w="100"/>
      </w:tblGrid>
      <w:tr>
        <w:tc>
          <w:tcPr>
            <w:shd w:fill="FFFFFF" w:val="clear"/>
            <w:tcMar>
              <w:top w:type="dxa" w:w="160"/>
              <w:left w:type="dxa" w:w="240"/>
              <w:bottom w:type="dxa" w:w="160"/>
              <w:right w:type="dxa" w:w="240"/>
            </w:tcMar>
          </w:tcPr>
          <w:p>
            <w:pPr>
              <w:spacing w:after="70"/>
            </w:pPr>
            <w:r>
              <w:rPr>
                <w:rFonts w:ascii="Public Sans" w:cs="Public Sans" w:eastAsia="Public Sans" w:hAnsi="Public Sans"/>
                <w:b/>
                <w:bCs/>
                <w:color w:val="1A1A1A"/>
                <w:sz w:val="24"/>
                <w:szCs w:val="24"/>
              </w:rPr>
              <w:t xml:space="preserve">The distinguishing question in both cases is the same</w:t>
            </w:r>
          </w:p>
          <w:p>
            <w:pPr>
              <w:spacing w:after="0" w:line="270"/>
            </w:pPr>
            <w:r>
              <w:rPr>
                <w:rFonts w:ascii="Public Sans" w:cs="Public Sans" w:eastAsia="Public Sans" w:hAnsi="Public Sans"/>
                <w:color w:val="1A1A1A"/>
                <w:sz w:val="21"/>
                <w:szCs w:val="21"/>
              </w:rPr>
              <w:t xml:space="preserve">Who retained the vendor, and for what purpose? Retained by counsel to facilitate legal advice → Kovel agent, presence does not vitiate privilege. Retained by the client (or by Alder Point Partners) for business, operational, or compliance services → ordinary third party, presence vitiates privilege under Section IV. Do not infer Kovel status from the "M2" name alone — M2 Discovery and M2 Compliance are evaluated independently, and confusing the two is the most common error in applying this rule.</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VII. Privilege and responsiveness are independent</w:t>
      </w:r>
    </w:p>
    <w:p>
      <w:pPr>
        <w:spacing w:after="140" w:line="276"/>
      </w:pPr>
      <w:r>
        <w:rPr>
          <w:rFonts w:ascii="Public Sans" w:cs="Public Sans" w:eastAsia="Public Sans" w:hAnsi="Public Sans"/>
          <w:color w:val="1A1A1A"/>
          <w:sz w:val="22"/>
          <w:szCs w:val="22"/>
        </w:rPr>
        <w:t xml:space="preserve">A document can be both privileged and responsive to the subpoena (e.g., [EMAIL-012], Ellery's risk-assessment memo, is responsive to Category 1 / tax-credit transactions and privileged — it is logged, not produced). A document can also be responsive but not privileged (e.g., the marketing deck attached to [EMAIL-001]), or privileged but of marginal responsiveness (e.g., internal review strategy discussions unrelated to any of the five subpoena categories). Always assess the two questions separately.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ublic Sans" w:cs="Public Sans" w:eastAsia="Public Sans" w:hAnsi="Public Sans"/>
        <w:color w:val="667085"/>
        <w:sz w:val="15"/>
        <w:szCs w:val="15"/>
      </w:rPr>
      <w:t xml:space="preserve">Confidential — Prepared for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56D9" w:sz="12" w:space="4"/>
      </w:pBdr>
    </w:pPr>
    <w:r>
      <w:rPr>
        <w:rFonts w:ascii="Public Sans" w:cs="Public Sans" w:eastAsia="Public Sans" w:hAnsi="Public Sans"/>
        <w:b/>
        <w:bCs/>
        <w:color w:val="7F56D9"/>
        <w:sz w:val="18"/>
        <w:szCs w:val="18"/>
      </w:rPr>
      <w:t xml:space="preserve">DecoverAI</w:t>
    </w:r>
    <w:r>
      <w:rPr>
        <w:rFonts w:ascii="Public Sans" w:cs="Public Sans" w:eastAsia="Public Sans" w:hAnsi="Public Sans"/>
        <w:color w:val="667085"/>
        <w:sz w:val="16"/>
        <w:szCs w:val="16"/>
      </w:rPr>
      <w:t xml:space="preserve">   |   Legal Intelligence Simplified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2026-07-28T01:23:31.422Z</dcterms:created>
  <dcterms:modified xsi:type="dcterms:W3CDTF">2026-07-28T01:23:31.422Z</dcterms:modified>
</cp:coreProperties>
</file>

<file path=docProps/custom.xml><?xml version="1.0" encoding="utf-8"?>
<Properties xmlns="http://schemas.openxmlformats.org/officeDocument/2006/custom-properties" xmlns:vt="http://schemas.openxmlformats.org/officeDocument/2006/docPropsVTypes"/>
</file>