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ublic Sans" w:cs="Public Sans" w:eastAsia="Public Sans" w:hAnsi="Public Sans"/>
          <w:b/>
          <w:bCs/>
          <w:color w:val="7F56D9"/>
          <w:spacing w:val="10"/>
          <w:sz w:val="18"/>
          <w:szCs w:val="18"/>
        </w:rPr>
        <w:t xml:space="preserve">DECOVERAI · DISCOVERY REFERENCE</w:t>
      </w:r>
    </w:p>
    <w:p>
      <w:pPr>
        <w:pBdr>
          <w:bottom w:val="single" w:color="7F56D9" w:sz="16" w:space="8"/>
        </w:pBdr>
        <w:spacing w:after="120" w:before="200"/>
      </w:pPr>
      <w:r>
        <w:rPr>
          <w:rFonts w:ascii="Public Sans" w:cs="Public Sans" w:eastAsia="Public Sans" w:hAnsi="Public Sans"/>
          <w:b/>
          <w:bCs/>
          <w:color w:val="1A1A1A"/>
          <w:sz w:val="48"/>
          <w:szCs w:val="48"/>
        </w:rPr>
        <w:t xml:space="preserve">Responsiveness definition</w:t>
      </w:r>
    </w:p>
    <w:p>
      <w:pPr>
        <w:spacing w:after="140" w:line="276"/>
      </w:pPr>
      <w:r>
        <w:rPr>
          <w:rFonts w:ascii="Public Sans" w:cs="Public Sans" w:eastAsia="Public Sans" w:hAnsi="Public Sans"/>
          <w:color w:val="1A1A1A"/>
          <w:sz w:val="22"/>
          <w:szCs w:val="22"/>
        </w:rPr>
        <w:t xml:space="preserve">Cascade Timber Holdings, Inc.</w:t>
      </w:r>
    </w:p>
    <w:tbl>
      <w:tblPr>
        <w:tblW w:type="pct" w:w="100%"/>
        <w:tblBorders>
          <w:top w:val="single" w:color="E9D7FE" w:sz="4"/>
          <w:left w:val="single" w:color="E9D7FE" w:sz="4"/>
          <w:bottom w:val="single" w:color="E9D7FE" w:sz="4"/>
          <w:right w:val="single" w:color="E9D7FE" w:sz="4"/>
          <w:insideH w:val="single" w:color="E9D7FE" w:sz="2"/>
          <w:insideV w:val="single" w:color="E9D7FE" w:sz="2"/>
        </w:tblBorders>
      </w:tblPr>
      <w:tblGrid>
        <w:gridCol w:w="2800"/>
        <w:gridCol w:w="7200"/>
      </w:tblGrid>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Matter</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IRS Examination — Coastal Solar Credit Program</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Issued to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Cascade Timber Holdings, Inc., Attn: Legal Department, Portland, OR 97209</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Issuing agency</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Internal Revenue Service, Examination Division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Case no.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EX-2023-04471</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Date issued</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May 23, 2023</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Response due</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June 13, 2023 (21 days)</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Revenue agent</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Kevin Tran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Version</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v1.0 — prepared July 16, 2026</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 Purpose</w:t>
      </w:r>
    </w:p>
    <w:p>
      <w:pPr>
        <w:spacing w:after="140" w:line="276"/>
      </w:pPr>
      <w:r>
        <w:rPr>
          <w:rFonts w:ascii="Public Sans" w:cs="Public Sans" w:eastAsia="Public Sans" w:hAnsi="Public Sans"/>
          <w:color w:val="1A1A1A"/>
          <w:sz w:val="22"/>
          <w:szCs w:val="22"/>
        </w:rPr>
        <w:t xml:space="preserve">This document defines what makes a record responsive to the IRS summons issued under 26 U.S.C. § 7602 (Case No. EX-2023-04471; called “the subpoena” in the corpus and below) issued to Cascade Timber Holdings, Inc. regarding the Coastal Solar Credit Program. A reviewer (human or LLM) must classify each document as </w:t>
      </w:r>
      <w:r>
        <w:rPr>
          <w:rFonts w:ascii="Public Sans" w:cs="Public Sans" w:eastAsia="Public Sans" w:hAnsi="Public Sans"/>
          <w:b/>
          <w:bCs/>
          <w:color w:val="1A1A1A"/>
          <w:sz w:val="22"/>
          <w:szCs w:val="22"/>
        </w:rPr>
        <w:t xml:space="preserve">RESPONSIVE</w:t>
      </w:r>
      <w:r>
        <w:rPr>
          <w:rFonts w:ascii="Public Sans" w:cs="Public Sans" w:eastAsia="Public Sans" w:hAnsi="Public Sans"/>
          <w:color w:val="1A1A1A"/>
          <w:sz w:val="22"/>
          <w:szCs w:val="22"/>
        </w:rPr>
        <w:t xml:space="preserve"> or </w:t>
      </w:r>
      <w:r>
        <w:rPr>
          <w:rFonts w:ascii="Public Sans" w:cs="Public Sans" w:eastAsia="Public Sans" w:hAnsi="Public Sans"/>
          <w:b/>
          <w:bCs/>
          <w:color w:val="1A1A1A"/>
          <w:sz w:val="22"/>
          <w:szCs w:val="22"/>
        </w:rPr>
        <w:t xml:space="preserve">NOT RESPONSIVE</w:t>
      </w:r>
      <w:r>
        <w:rPr>
          <w:rFonts w:ascii="Public Sans" w:cs="Public Sans" w:eastAsia="Public Sans" w:hAnsi="Public Sans"/>
          <w:color w:val="1A1A1A"/>
          <w:sz w:val="22"/>
          <w:szCs w:val="22"/>
        </w:rPr>
        <w:t xml:space="preserve"> and, if responsive, identify which of the five categories below (1–5) it falls under. A document may satisfy more than one category.</w:t>
      </w:r>
    </w:p>
    <w:p>
      <w:pPr>
        <w:spacing w:after="140" w:line="276"/>
      </w:pPr>
      <w:r>
        <w:rPr>
          <w:rFonts w:ascii="Public Sans" w:cs="Public Sans" w:eastAsia="Public Sans" w:hAnsi="Public Sans"/>
          <w:color w:val="1A1A1A"/>
          <w:sz w:val="22"/>
          <w:szCs w:val="22"/>
        </w:rPr>
        <w:t xml:space="preserve">The subpoena defines its scope by subject matter — the Program and its surrounding relationships and records — not by custodian, sender, or date alone. A document is responsive because of what it discusses, not who wrote it.</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 Scope categories (subpoena document requests 1–5)</w:t>
      </w:r>
    </w:p>
    <w:p>
      <w:pPr>
        <w:spacing w:after="80" w:before="240"/>
      </w:pPr>
      <w:r>
        <w:rPr>
          <w:rFonts w:ascii="Public Sans" w:cs="Public Sans" w:eastAsia="Public Sans" w:hAnsi="Public Sans"/>
          <w:b/>
          <w:bCs/>
          <w:color w:val="7F56D9"/>
          <w:sz w:val="26"/>
          <w:szCs w:val="26"/>
        </w:rPr>
        <w:t xml:space="preserve">Category 1 — Tax-credit transactions</w:t>
      </w:r>
    </w:p>
    <w:p>
      <w:pPr>
        <w:spacing w:after="140" w:line="276"/>
      </w:pPr>
      <w:r>
        <w:rPr>
          <w:rFonts w:ascii="Public Sans" w:cs="Public Sans" w:eastAsia="Public Sans" w:hAnsi="Public Sans"/>
          <w:color w:val="1A1A1A"/>
          <w:sz w:val="22"/>
          <w:szCs w:val="22"/>
        </w:rPr>
        <w:t xml:space="preserve">Records regarding tax-credit transactions involving renewable energy and land conservation programs, including credit origination, eligibility determinations, and transaction structuring documents.</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EXAMPLES</w:t>
            </w:r>
          </w:p>
          <w:p>
            <w:pPr>
              <w:spacing w:after="0" w:line="270"/>
            </w:pPr>
            <w:r>
              <w:rPr>
                <w:rFonts w:ascii="Public Sans" w:cs="Public Sans" w:eastAsia="Public Sans" w:hAnsi="Public Sans"/>
                <w:color w:val="1A1A1A"/>
                <w:sz w:val="21"/>
                <w:szCs w:val="21"/>
              </w:rPr>
              <w:t xml:space="preserve">[EMAIL-001] (Program kickoff), [EMAIL-003] (parcel eligibility discrepancy), [EMAIL-004]/[EMAIL-005] (compliance question re: eligibility), [EMAIL-015]/[EMAIL-016] (eligibility follow-up), the underlying </w:t>
            </w:r>
            <w:r>
              <w:rPr>
                <w:rFonts w:ascii="Public Sans" w:cs="Public Sans" w:eastAsia="Public Sans" w:hAnsi="Public Sans"/>
                <w:b/>
                <w:bCs/>
                <w:color w:val="1A1A1A"/>
                <w:sz w:val="21"/>
                <w:szCs w:val="21"/>
              </w:rPr>
              <w:t xml:space="preserve">Land_Parcel_Data_Northwest.csv</w:t>
            </w:r>
            <w:r>
              <w:rPr>
                <w:rFonts w:ascii="Public Sans" w:cs="Public Sans" w:eastAsia="Public Sans" w:hAnsi="Public Sans"/>
                <w:color w:val="1A1A1A"/>
                <w:sz w:val="21"/>
                <w:szCs w:val="21"/>
              </w:rPr>
              <w:t xml:space="preserve"> [EMAIL-037], and the GreenAcre survey findings [EMAIL-039].</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Category 2 — Marketing and sales materials</w:t>
      </w:r>
    </w:p>
    <w:p>
      <w:pPr>
        <w:spacing w:after="140" w:line="276"/>
      </w:pPr>
      <w:r>
        <w:rPr>
          <w:rFonts w:ascii="Public Sans" w:cs="Public Sans" w:eastAsia="Public Sans" w:hAnsi="Public Sans"/>
          <w:color w:val="1A1A1A"/>
          <w:sz w:val="22"/>
          <w:szCs w:val="22"/>
        </w:rPr>
        <w:t xml:space="preserve">Marketing and sales materials for the Program, including broker network materials, investor-facing decks, and sales communications distributed in 2022 and 2023.</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EXAMPLES</w:t>
            </w:r>
          </w:p>
          <w:p>
            <w:pPr>
              <w:spacing w:after="0" w:line="270"/>
            </w:pPr>
            <w:r>
              <w:rPr>
                <w:rFonts w:ascii="Public Sans" w:cs="Public Sans" w:eastAsia="Public Sans" w:hAnsi="Public Sans"/>
                <w:b/>
                <w:bCs/>
                <w:color w:val="1A1A1A"/>
                <w:sz w:val="21"/>
                <w:szCs w:val="21"/>
              </w:rPr>
              <w:t xml:space="preserve">Coastal_Solar_Marketing_Deck.pptx</w:t>
            </w:r>
            <w:r>
              <w:rPr>
                <w:rFonts w:ascii="Public Sans" w:cs="Public Sans" w:eastAsia="Public Sans" w:hAnsi="Public Sans"/>
                <w:color w:val="1A1A1A"/>
                <w:sz w:val="21"/>
                <w:szCs w:val="21"/>
              </w:rPr>
              <w:t xml:space="preserve"> [EMAIL-001], Alder Point's original pitch deck </w:t>
            </w:r>
            <w:r>
              <w:rPr>
                <w:rFonts w:ascii="Public Sans" w:cs="Public Sans" w:eastAsia="Public Sans" w:hAnsi="Public Sans"/>
                <w:b/>
                <w:bCs/>
                <w:color w:val="1A1A1A"/>
                <w:sz w:val="21"/>
                <w:szCs w:val="21"/>
              </w:rPr>
              <w:t xml:space="preserve">Coastal_Solar_Partnership_Proposal.pptx</w:t>
            </w:r>
            <w:r>
              <w:rPr>
                <w:rFonts w:ascii="Public Sans" w:cs="Public Sans" w:eastAsia="Public Sans" w:hAnsi="Public Sans"/>
                <w:color w:val="1A1A1A"/>
                <w:sz w:val="21"/>
                <w:szCs w:val="21"/>
              </w:rPr>
              <w:t xml:space="preserve"> [EMAIL-033].</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Category 3 — Investor, buyer, seller, land trust, and advisor relationships</w:t>
      </w:r>
    </w:p>
    <w:p>
      <w:pPr>
        <w:spacing w:after="140" w:line="276"/>
      </w:pPr>
      <w:r>
        <w:rPr>
          <w:rFonts w:ascii="Public Sans" w:cs="Public Sans" w:eastAsia="Public Sans" w:hAnsi="Public Sans"/>
          <w:color w:val="1A1A1A"/>
          <w:sz w:val="22"/>
          <w:szCs w:val="22"/>
        </w:rPr>
        <w:t xml:space="preserve">Records reflecting relationships with investors, buyers, sellers, land trusts, and advisors in connection with the Program, including engagement letters, correspondence, and agreements.</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EXAMPLES</w:t>
            </w:r>
          </w:p>
          <w:p>
            <w:pPr>
              <w:spacing w:after="0" w:line="270"/>
            </w:pPr>
            <w:r>
              <w:rPr>
                <w:rFonts w:ascii="Public Sans" w:cs="Public Sans" w:eastAsia="Public Sans" w:hAnsi="Public Sans"/>
                <w:color w:val="1A1A1A"/>
                <w:sz w:val="21"/>
                <w:szCs w:val="21"/>
              </w:rPr>
              <w:t xml:space="preserve">[EMAIL-002]/[EMAIL-013]/[EMAIL-014]/[EMAIL-026]/[EMAIL-030] (Marlowe–Denniston stakeholder communications about the Program's financial performance and the decision to pause), investor-relations follow-up on the pause.</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Category 4 — Alder Point Partners-affiliated entities and brokers</w:t>
      </w:r>
    </w:p>
    <w:p>
      <w:pPr>
        <w:spacing w:after="140" w:line="276"/>
      </w:pPr>
      <w:r>
        <w:rPr>
          <w:rFonts w:ascii="Public Sans" w:cs="Public Sans" w:eastAsia="Public Sans" w:hAnsi="Public Sans"/>
          <w:color w:val="1A1A1A"/>
          <w:sz w:val="22"/>
          <w:szCs w:val="22"/>
        </w:rPr>
        <w:t xml:space="preserve">Records concerning corporate entities affiliated with Alder Point Partners, including organizational documents, ownership records, and inter-company agreements, together with any records concerning brokers engaged in connection with the Program, including Bellhaven Advisory.</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EXAMPLES</w:t>
            </w:r>
          </w:p>
          <w:p>
            <w:pPr>
              <w:spacing w:after="0" w:line="270"/>
            </w:pPr>
            <w:r>
              <w:rPr>
                <w:rFonts w:ascii="Public Sans" w:cs="Public Sans" w:eastAsia="Public Sans" w:hAnsi="Public Sans"/>
                <w:color w:val="1A1A1A"/>
                <w:sz w:val="21"/>
                <w:szCs w:val="21"/>
              </w:rPr>
              <w:t xml:space="preserve">[EMAIL-006]–[EMAIL-011] (Bellhaven engagement and OR/WA registration gap), [EMAIL-017]/[EMAIL-018] (licensing check-in), [EMAIL-029] (registration finalized), </w:t>
            </w:r>
            <w:r>
              <w:rPr>
                <w:rFonts w:ascii="Public Sans" w:cs="Public Sans" w:eastAsia="Public Sans" w:hAnsi="Public Sans"/>
                <w:b/>
                <w:bCs/>
                <w:color w:val="1A1A1A"/>
                <w:sz w:val="21"/>
                <w:szCs w:val="21"/>
              </w:rPr>
              <w:t xml:space="preserve">Bellhaven_Coastal_Solar_Placement_Agreement.pdf</w:t>
            </w:r>
            <w:r>
              <w:rPr>
                <w:rFonts w:ascii="Public Sans" w:cs="Public Sans" w:eastAsia="Public Sans" w:hAnsi="Public Sans"/>
                <w:color w:val="1A1A1A"/>
                <w:sz w:val="21"/>
                <w:szCs w:val="21"/>
              </w:rPr>
              <w:t xml:space="preserve"> [EMAIL-009].</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Category 5 — Tax, accounting, banking, and loan records</w:t>
      </w:r>
    </w:p>
    <w:p>
      <w:pPr>
        <w:spacing w:after="140" w:line="276"/>
      </w:pPr>
      <w:r>
        <w:rPr>
          <w:rFonts w:ascii="Public Sans" w:cs="Public Sans" w:eastAsia="Public Sans" w:hAnsi="Public Sans"/>
          <w:color w:val="1A1A1A"/>
          <w:sz w:val="22"/>
          <w:szCs w:val="22"/>
        </w:rPr>
        <w:t xml:space="preserve">Tax, accounting, banking, and loan records connected to the Program, including general ledger entries, bank statements, loan agreements, and tax filings referencing Coastal Solar credit transactions.</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b/>
                <w:bCs/>
                <w:color w:val="1A1A1A"/>
                <w:sz w:val="21"/>
                <w:szCs w:val="21"/>
              </w:rPr>
              <w:t xml:space="preserve">Q3_Financial_Impact_Coastal_Solar_Pause.xlsx</w:t>
            </w:r>
            <w:r>
              <w:rPr>
                <w:rFonts w:ascii="Public Sans" w:cs="Public Sans" w:eastAsia="Public Sans" w:hAnsi="Public Sans"/>
                <w:color w:val="1A1A1A"/>
                <w:sz w:val="21"/>
                <w:szCs w:val="21"/>
              </w:rPr>
              <w:t xml:space="preserve"> [EMAIL-071].</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III. Not responsive</w:t>
      </w:r>
    </w:p>
    <w:p>
      <w:pPr>
        <w:spacing w:after="140" w:line="276"/>
      </w:pPr>
      <w:r>
        <w:rPr>
          <w:rFonts w:ascii="Public Sans" w:cs="Public Sans" w:eastAsia="Public Sans" w:hAnsi="Public Sans"/>
          <w:color w:val="1A1A1A"/>
          <w:sz w:val="22"/>
          <w:szCs w:val="22"/>
        </w:rPr>
        <w:t xml:space="preserve">A document is NOT responsive if it falls outside all five categories above, regardless of any internal analytical tag it carries in the review platform (e.g., "Routine" or "Chronology Key Event" are workflow labels, not responsiveness determinations — assess against Categories 1–5 directly).</w:t>
      </w:r>
    </w:p>
    <w:p>
      <w:pPr>
        <w:spacing w:after="140" w:line="276"/>
      </w:pPr>
      <w:r>
        <w:rPr>
          <w:rFonts w:ascii="Public Sans" w:cs="Public Sans" w:eastAsia="Public Sans" w:hAnsi="Public Sans"/>
          <w:color w:val="1A1A1A"/>
          <w:sz w:val="22"/>
          <w:szCs w:val="22"/>
        </w:rPr>
        <w:t xml:space="preserve">Documents confirmed not responsive in this collection include:</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Calendar invites, out-of-office autoreplies, IT security notices, HR announcements, expense/travel emails, and general unrelated chatter with no connection to the Program.</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Legal-hold and internal-review-process documents that discuss how CTH is responding to the subpoena, rather than the underlying subject matter of Document Requests 1–5 (e.g., [EMAIL-024] legal hold notice, [EMAIL-026]/[EMAIL-027] review budget/approach) — these may be privileged/work product, but they concern the response to the subpoena, not the Program itself. Log separately if privileged; do not mark responsive on that basis alone.</w:t>
      </w:r>
    </w:p>
    <w:tbl>
      <w:tblPr>
        <w:tblW w:type="pct" w:w="100%"/>
        <w:tblBorders>
          <w:top w:val="single" w:color="7F56D9" w:sz="4"/>
          <w:left w:val="single" w:color="7F56D9" w:sz="4"/>
          <w:bottom w:val="single" w:color="7F56D9" w:sz="4"/>
          <w:right w:val="single" w:color="7F56D9" w:sz="4"/>
          <w:insideH w:val="single" w:color="auto" w:sz="4"/>
          <w:insideV w:val="single" w:color="auto" w:sz="4"/>
        </w:tblBorders>
      </w:tblPr>
      <w:tblGrid>
        <w:gridCol w:w="100"/>
      </w:tblGrid>
      <w:tr>
        <w:tc>
          <w:tcPr>
            <w:shd w:fill="FFFFFF" w:val="clear"/>
            <w:tcMar>
              <w:top w:type="dxa" w:w="160"/>
              <w:left w:type="dxa" w:w="240"/>
              <w:bottom w:type="dxa" w:w="160"/>
              <w:right w:type="dxa" w:w="240"/>
            </w:tcMar>
          </w:tcPr>
          <w:p>
            <w:pPr>
              <w:spacing w:after="70"/>
            </w:pPr>
            <w:r>
              <w:rPr>
                <w:rFonts w:ascii="Public Sans" w:cs="Public Sans" w:eastAsia="Public Sans" w:hAnsi="Public Sans"/>
                <w:b/>
                <w:bCs/>
                <w:color w:val="1A1A1A"/>
                <w:sz w:val="24"/>
                <w:szCs w:val="24"/>
              </w:rPr>
              <w:t xml:space="preserve">Critical rule — "Mountain Ridge Reforestation Credit" is a false positive</w:t>
            </w:r>
          </w:p>
          <w:p>
            <w:pPr>
              <w:spacing w:after="0" w:line="270"/>
            </w:pPr>
            <w:r>
              <w:rPr>
                <w:rFonts w:ascii="Public Sans" w:cs="Public Sans" w:eastAsia="Public Sans" w:hAnsi="Public Sans"/>
                <w:color w:val="1A1A1A"/>
                <w:sz w:val="21"/>
                <w:szCs w:val="21"/>
              </w:rPr>
              <w:t xml:space="preserve">Several documents in this collection concern the "Mountain Ridge Reforestation Credit," a similarly named but entirely separate reforestation program with no connection to Alder Point Partners, Bellhaven Advisory, or the Coastal Solar Credit Program. These are </w:t>
            </w:r>
            <w:r>
              <w:rPr>
                <w:rFonts w:ascii="Public Sans" w:cs="Public Sans" w:eastAsia="Public Sans" w:hAnsi="Public Sans"/>
                <w:b/>
                <w:bCs/>
                <w:color w:val="1A1A1A"/>
                <w:sz w:val="21"/>
                <w:szCs w:val="21"/>
              </w:rPr>
              <w:t xml:space="preserve">NOT responsive</w:t>
            </w:r>
            <w:r>
              <w:rPr>
                <w:rFonts w:ascii="Public Sans" w:cs="Public Sans" w:eastAsia="Public Sans" w:hAnsi="Public Sans"/>
                <w:color w:val="1A1A1A"/>
                <w:sz w:val="21"/>
                <w:szCs w:val="21"/>
              </w:rPr>
              <w:t xml:space="preserve"> despite superficial keyword overlap ("credit," "reforestation" vs. "conservation"). Do not classify a document as responsive on program-name similarity alone — confirm the actual entities and program at issue.</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IV. Privilege is assessed separately</w:t>
      </w:r>
    </w:p>
    <w:p>
      <w:pPr>
        <w:spacing w:after="140" w:line="276"/>
      </w:pPr>
      <w:r>
        <w:rPr>
          <w:rFonts w:ascii="Public Sans" w:cs="Public Sans" w:eastAsia="Public Sans" w:hAnsi="Public Sans"/>
          <w:color w:val="1A1A1A"/>
          <w:sz w:val="22"/>
          <w:szCs w:val="22"/>
        </w:rPr>
        <w:t xml:space="preserve">A document can be both responsive and privileged (produced on a privilege log, not in the production set). See the Attorney-Client Privilege Definition and Work Product Definition for that independent analysis. Responsiveness alone does not resolve whether a document must be produced.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ublic Sans" w:cs="Public Sans" w:eastAsia="Public Sans" w:hAnsi="Public Sans"/>
        <w:color w:val="667085"/>
        <w:sz w:val="15"/>
        <w:szCs w:val="15"/>
      </w:rPr>
      <w:t xml:space="preserve">Confidential — Prepared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56D9" w:sz="12" w:space="4"/>
      </w:pBdr>
    </w:pPr>
    <w:r>
      <w:rPr>
        <w:rFonts w:ascii="Public Sans" w:cs="Public Sans" w:eastAsia="Public Sans" w:hAnsi="Public Sans"/>
        <w:b/>
        <w:bCs/>
        <w:color w:val="7F56D9"/>
        <w:sz w:val="18"/>
        <w:szCs w:val="18"/>
      </w:rPr>
      <w:t xml:space="preserve">DecoverAI</w:t>
    </w:r>
    <w:r>
      <w:rPr>
        <w:rFonts w:ascii="Public Sans" w:cs="Public Sans" w:eastAsia="Public Sans" w:hAnsi="Public Sans"/>
        <w:color w:val="667085"/>
        <w:sz w:val="16"/>
        <w:szCs w:val="16"/>
      </w:rPr>
      <w:t xml:space="preserve">   |   Legal Intelligence Simplified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2026-07-28T01:22:49.074Z</dcterms:created>
  <dcterms:modified xsi:type="dcterms:W3CDTF">2026-07-28T01:22:49.090Z</dcterms:modified>
</cp:coreProperties>
</file>

<file path=docProps/custom.xml><?xml version="1.0" encoding="utf-8"?>
<Properties xmlns="http://schemas.openxmlformats.org/officeDocument/2006/custom-properties" xmlns:vt="http://schemas.openxmlformats.org/officeDocument/2006/docPropsVTypes"/>
</file>