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Public Sans" w:cs="Public Sans" w:eastAsia="Public Sans" w:hAnsi="Public Sans"/>
          <w:b/>
          <w:bCs/>
          <w:color w:val="7F56D9"/>
          <w:spacing w:val="10"/>
          <w:sz w:val="18"/>
          <w:szCs w:val="18"/>
        </w:rPr>
        <w:t xml:space="preserve">DECOVERAI · DISCOVERY REFERENCE</w:t>
      </w:r>
    </w:p>
    <w:p>
      <w:pPr>
        <w:pBdr>
          <w:bottom w:val="single" w:color="7F56D9" w:sz="16" w:space="8"/>
        </w:pBdr>
        <w:spacing w:after="120" w:before="200"/>
      </w:pPr>
      <w:r>
        <w:rPr>
          <w:rFonts w:ascii="Public Sans" w:cs="Public Sans" w:eastAsia="Public Sans" w:hAnsi="Public Sans"/>
          <w:b/>
          <w:bCs/>
          <w:color w:val="1A1A1A"/>
          <w:sz w:val="48"/>
          <w:szCs w:val="48"/>
        </w:rPr>
        <w:t xml:space="preserve">Work product doctrine definition</w:t>
      </w:r>
    </w:p>
    <w:p>
      <w:pPr>
        <w:spacing w:after="140" w:line="276"/>
      </w:pPr>
      <w:r>
        <w:rPr>
          <w:rFonts w:ascii="Public Sans" w:cs="Public Sans" w:eastAsia="Public Sans" w:hAnsi="Public Sans"/>
          <w:color w:val="1A1A1A"/>
          <w:sz w:val="22"/>
          <w:szCs w:val="22"/>
        </w:rPr>
        <w:t xml:space="preserve">Cascade Timber Holdings, Inc.</w:t>
      </w:r>
    </w:p>
    <w:tbl>
      <w:tblPr>
        <w:tblW w:type="pct" w:w="100%"/>
        <w:tblBorders>
          <w:top w:val="single" w:color="E9D7FE" w:sz="4"/>
          <w:left w:val="single" w:color="E9D7FE" w:sz="4"/>
          <w:bottom w:val="single" w:color="E9D7FE" w:sz="4"/>
          <w:right w:val="single" w:color="E9D7FE" w:sz="4"/>
          <w:insideH w:val="single" w:color="E9D7FE" w:sz="2"/>
          <w:insideV w:val="single" w:color="E9D7FE" w:sz="2"/>
        </w:tblBorders>
      </w:tblPr>
      <w:tblGrid>
        <w:gridCol w:w="2800"/>
        <w:gridCol w:w="7200"/>
      </w:tblGrid>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Matter</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IRS Examination — Coastal Solar Credit Program</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Issued to</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Cascade Timber Holdings, Inc., Attn: Legal Department, Portland, OR 97209</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Issuing agency</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Internal Revenue Service, Examination Division</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Case no.</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EX-2023-04471</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Date issued</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May 23, 2023</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Response due</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June 13, 2023 (21 days)</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Revenue agent</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Kevin Tran</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Version</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v1.0 — prepared July 16, 2026</w:t>
            </w:r>
          </w:p>
        </w:tc>
      </w:tr>
    </w:tbl>
    <w:p>
      <w:pPr>
        <w:spacing w:after="160"/>
      </w:pPr>
      <w:r>
        <w:rPr>
          <w:sz w:val="2"/>
          <w:szCs w:val="2"/>
        </w:rPr>
        <w:t xml:space="preserve"/>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 Applicable matter</w:t>
      </w:r>
    </w:p>
    <w:p>
      <w:pPr>
        <w:spacing w:after="140" w:line="276"/>
      </w:pPr>
      <w:r>
        <w:rPr>
          <w:rFonts w:ascii="Public Sans" w:cs="Public Sans" w:eastAsia="Public Sans" w:hAnsi="Public Sans"/>
          <w:color w:val="1A1A1A"/>
          <w:sz w:val="22"/>
          <w:szCs w:val="22"/>
        </w:rPr>
        <w:t xml:space="preserve">This definition applies to materials prepared by or for Cascade Timber Holdings, Inc. or its representatives in anticipation of litigation or a government proceeding concerning the Coastal Solar Credit Program.</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II. Legal standard</w:t>
      </w:r>
    </w:p>
    <w:p>
      <w:pPr>
        <w:spacing w:after="140" w:line="276"/>
      </w:pPr>
      <w:r>
        <w:rPr>
          <w:rFonts w:ascii="Public Sans" w:cs="Public Sans" w:eastAsia="Public Sans" w:hAnsi="Public Sans"/>
          <w:color w:val="1A1A1A"/>
          <w:sz w:val="22"/>
          <w:szCs w:val="22"/>
        </w:rPr>
        <w:t xml:space="preserve">The work product doctrine protects documents and tangible things prepared in anticipation of litigation or for trial by or for a party or its representative (including attorneys, consultants, or agents), regardless of whether an attorney authored the material. Unlike attorney-client privilege, work product does </w:t>
      </w:r>
      <w:r>
        <w:rPr>
          <w:rFonts w:ascii="Public Sans" w:cs="Public Sans" w:eastAsia="Public Sans" w:hAnsi="Public Sans"/>
          <w:b/>
          <w:bCs/>
          <w:color w:val="1A1A1A"/>
          <w:sz w:val="22"/>
          <w:szCs w:val="22"/>
        </w:rPr>
        <w:t xml:space="preserve">not</w:t>
      </w:r>
      <w:r>
        <w:rPr>
          <w:rFonts w:ascii="Public Sans" w:cs="Public Sans" w:eastAsia="Public Sans" w:hAnsi="Public Sans"/>
          <w:color w:val="1A1A1A"/>
          <w:sz w:val="22"/>
          <w:szCs w:val="22"/>
        </w:rPr>
        <w:t xml:space="preserve"> require an attorney to be a participant in the communication — it requires only that the material was prepared because of anticipated litigation or a government proceeding, and not in the ordinary course of business.</w:t>
      </w:r>
    </w:p>
    <w:p>
      <w:pPr>
        <w:spacing w:after="140" w:line="276"/>
      </w:pPr>
      <w:r>
        <w:rPr>
          <w:rFonts w:ascii="Public Sans" w:cs="Public Sans" w:eastAsia="Public Sans" w:hAnsi="Public Sans"/>
          <w:color w:val="1A1A1A"/>
          <w:sz w:val="22"/>
          <w:szCs w:val="22"/>
        </w:rPr>
        <w:t xml:space="preserve">Two tiers apply:</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b/>
          <w:bCs/>
          <w:color w:val="1A1A1A"/>
          <w:sz w:val="22"/>
          <w:szCs w:val="22"/>
        </w:rPr>
        <w:t xml:space="preserve">Fact work product</w:t>
      </w:r>
      <w:r>
        <w:rPr>
          <w:rFonts w:ascii="Public Sans" w:cs="Public Sans" w:eastAsia="Public Sans" w:hAnsi="Public Sans"/>
          <w:color w:val="1A1A1A"/>
          <w:sz w:val="22"/>
          <w:szCs w:val="22"/>
        </w:rPr>
        <w:t xml:space="preserve"> — factual investigation/compilation material (lower protection; discoverable on a substantial-need/undue-hardship showing).</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b/>
          <w:bCs/>
          <w:color w:val="1A1A1A"/>
          <w:sz w:val="22"/>
          <w:szCs w:val="22"/>
        </w:rPr>
        <w:t xml:space="preserve">Opinion work product</w:t>
      </w:r>
      <w:r>
        <w:rPr>
          <w:rFonts w:ascii="Public Sans" w:cs="Public Sans" w:eastAsia="Public Sans" w:hAnsi="Public Sans"/>
          <w:color w:val="1A1A1A"/>
          <w:sz w:val="22"/>
          <w:szCs w:val="22"/>
        </w:rPr>
        <w:t xml:space="preserve"> — material reflecting the mental impressions, legal theories, or strategy of counsel (near-absolute protection).</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III. Anticipation-of-litigation trigger date</w:t>
      </w:r>
    </w:p>
    <w:p>
      <w:pPr>
        <w:spacing w:after="140" w:line="276"/>
      </w:pPr>
      <w:r>
        <w:rPr>
          <w:rFonts w:ascii="Public Sans" w:cs="Public Sans" w:eastAsia="Public Sans" w:hAnsi="Public Sans"/>
          <w:color w:val="1A1A1A"/>
          <w:sz w:val="22"/>
          <w:szCs w:val="22"/>
        </w:rPr>
        <w:t xml:space="preserve">Materials created before the trigger date below are ordinary-course business records, even if they later become important evidence. Materials created at or after the trigger date, because of the anticipated proceeding, are work product candidates.</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TRIGGER DATE — FEBRUARY 24, 2023</w:t>
            </w:r>
          </w:p>
          <w:p>
            <w:pPr>
              <w:spacing w:after="0" w:line="270"/>
            </w:pPr>
            <w:r>
              <w:rPr>
                <w:rFonts w:ascii="Public Sans" w:cs="Public Sans" w:eastAsia="Public Sans" w:hAnsi="Public Sans"/>
                <w:color w:val="1A1A1A"/>
                <w:sz w:val="21"/>
                <w:szCs w:val="21"/>
              </w:rPr>
              <w:t xml:space="preserve">[EMAIL-021], CTH's formal engagement of L&amp;L Associates to advise on an internal review of the Program, "given the complaint received last week" (referencing the whistleblower complaint received February 20, 2023, [EMAIL-019]). This is the bright-line date after which internal-review materials are prepared in anticipation of litigation/regulatory action. Reinforced by [EMAIL-023] (IRS subpoena received, May 23, 2023) and [EMAIL-024] (legal hold notice, June 13, 2023).</w:t>
            </w:r>
          </w:p>
        </w:tc>
      </w:tr>
    </w:tbl>
    <w:p>
      <w:pPr>
        <w:spacing w:after="160"/>
      </w:pPr>
      <w:r>
        <w:rPr>
          <w:sz w:val="2"/>
          <w:szCs w:val="2"/>
        </w:rPr>
        <w:t xml:space="preserve"/>
      </w:r>
    </w:p>
    <w:p>
      <w:pPr>
        <w:spacing w:after="140" w:line="276"/>
      </w:pPr>
      <w:r>
        <w:rPr>
          <w:rFonts w:ascii="Public Sans" w:cs="Public Sans" w:eastAsia="Public Sans" w:hAnsi="Public Sans"/>
          <w:color w:val="1A1A1A"/>
          <w:sz w:val="22"/>
          <w:szCs w:val="22"/>
        </w:rPr>
        <w:t xml:space="preserve">Documents predating February 24, 2023 — e.g., [EMAIL-003]/[EMAIL-015]/[EMAIL-016] (original parcel eligibility concerns), the underlying </w:t>
      </w:r>
      <w:r>
        <w:rPr>
          <w:rFonts w:ascii="Public Sans" w:cs="Public Sans" w:eastAsia="Public Sans" w:hAnsi="Public Sans"/>
          <w:b/>
          <w:bCs/>
          <w:color w:val="1A1A1A"/>
          <w:sz w:val="22"/>
          <w:szCs w:val="22"/>
        </w:rPr>
        <w:t xml:space="preserve">Land_Parcel_Data_Northwest.csv</w:t>
      </w:r>
      <w:r>
        <w:rPr>
          <w:rFonts w:ascii="Public Sans" w:cs="Public Sans" w:eastAsia="Public Sans" w:hAnsi="Public Sans"/>
          <w:color w:val="1A1A1A"/>
          <w:sz w:val="22"/>
          <w:szCs w:val="22"/>
        </w:rPr>
        <w:t xml:space="preserve">, and the GreenAcre survey commissioned to investigate the acreage discrepancy — are ordinary business records, not work product, even though they became central evidence in the later review. They may still be responsive (Category 1) and, separately, some may be privileged if they reflect legal advice — analyze independently.</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IV. Worked examples</w:t>
      </w:r>
    </w:p>
    <w:p>
      <w:pPr>
        <w:spacing w:after="80" w:before="240"/>
      </w:pPr>
      <w:r>
        <w:rPr>
          <w:rFonts w:ascii="Public Sans" w:cs="Public Sans" w:eastAsia="Public Sans" w:hAnsi="Public Sans"/>
          <w:b/>
          <w:bCs/>
          <w:color w:val="7F56D9"/>
          <w:sz w:val="26"/>
          <w:szCs w:val="26"/>
        </w:rPr>
        <w:t xml:space="preserve">A. Interim findings memo — opinion work product (and privileged)</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b/>
                <w:bCs/>
                <w:color w:val="1A1A1A"/>
                <w:sz w:val="21"/>
                <w:szCs w:val="21"/>
              </w:rPr>
              <w:t xml:space="preserve">Privileged_Interim_Findings_Memo.pdf</w:t>
            </w:r>
            <w:r>
              <w:rPr>
                <w:rFonts w:ascii="Public Sans" w:cs="Public Sans" w:eastAsia="Public Sans" w:hAnsi="Public Sans"/>
                <w:color w:val="1A1A1A"/>
                <w:sz w:val="21"/>
                <w:szCs w:val="21"/>
              </w:rPr>
              <w:t xml:space="preserve"> [EMAIL-050], prepared by L&amp;L Associates as part of the internal review, reflects counsel's analysis and mental impressions of the review findings. Both work product and attorney-client privilege apply — log under both.</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B. Review strategy/budget discussion — work product even without full legal-advice framing</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color w:val="1A1A1A"/>
                <w:sz w:val="21"/>
                <w:szCs w:val="21"/>
              </w:rPr>
              <w:t xml:space="preserve">[EMAIL-027] (Ellery discussing a faster review approach, budget, and document-review methodology with Denniston and Marlowe) is opinion work product — it reflects counsel's strategy for conducting the review — in addition to being privileged (see the Attorney-Client Privilege Definition, Rule V.E).</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C. IT collection scope — work product prepared at counsel's direction</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color w:val="1A1A1A"/>
                <w:sz w:val="21"/>
                <w:szCs w:val="21"/>
              </w:rPr>
              <w:t xml:space="preserve">The IT department's technical export scope (</w:t>
            </w:r>
            <w:r>
              <w:rPr>
                <w:rFonts w:ascii="Public Sans" w:cs="Public Sans" w:eastAsia="Public Sans" w:hAnsi="Public Sans"/>
                <w:b/>
                <w:bCs/>
                <w:color w:val="1A1A1A"/>
                <w:sz w:val="21"/>
                <w:szCs w:val="21"/>
              </w:rPr>
              <w:t xml:space="preserve">Custodian_Mailbox_Export_List.xlsx</w:t>
            </w:r>
            <w:r>
              <w:rPr>
                <w:rFonts w:ascii="Public Sans" w:cs="Public Sans" w:eastAsia="Public Sans" w:hAnsi="Public Sans"/>
                <w:color w:val="1A1A1A"/>
                <w:sz w:val="21"/>
                <w:szCs w:val="21"/>
              </w:rPr>
              <w:t xml:space="preserve">, [EMAIL-059]) is fact work product: it was prepared at counsel's direction to define the collection for the internal review and subpoena response, even though it contains no legal advice itself and no attorney is its author.</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D. Communications with the IRS are not work product</w:t>
      </w:r>
    </w:p>
    <w:p>
      <w:pPr>
        <w:spacing w:after="140" w:line="276"/>
      </w:pPr>
      <w:r>
        <w:rPr>
          <w:rFonts w:ascii="Public Sans" w:cs="Public Sans" w:eastAsia="Public Sans" w:hAnsi="Public Sans"/>
          <w:color w:val="1A1A1A"/>
          <w:sz w:val="22"/>
          <w:szCs w:val="22"/>
        </w:rPr>
        <w:t xml:space="preserve">The extension-request correspondence with IRS Revenue Agent Kevin Tran is not work product — material shared with the investigating government agency (the adverse party) is not protected, the same way any document shared with an adversary loses protection. Analyze such correspondence as an ordinary responsive record, not privileged/work product.</w:t>
      </w:r>
    </w:p>
    <w:p>
      <w:pPr>
        <w:spacing w:after="80" w:before="240"/>
      </w:pPr>
      <w:r>
        <w:rPr>
          <w:rFonts w:ascii="Public Sans" w:cs="Public Sans" w:eastAsia="Public Sans" w:hAnsi="Public Sans"/>
          <w:b/>
          <w:bCs/>
          <w:color w:val="7F56D9"/>
          <w:sz w:val="26"/>
          <w:szCs w:val="26"/>
        </w:rPr>
        <w:t xml:space="preserve">E. Ambiguous business analysis — flag for human review</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FLAG FOR HUMAN REVIEW</w:t>
            </w:r>
          </w:p>
          <w:p>
            <w:pPr>
              <w:spacing w:after="0" w:line="270"/>
            </w:pPr>
            <w:r>
              <w:rPr>
                <w:rFonts w:ascii="Public Sans" w:cs="Public Sans" w:eastAsia="Public Sans" w:hAnsi="Public Sans"/>
                <w:b/>
                <w:bCs/>
                <w:color w:val="1A1A1A"/>
                <w:sz w:val="21"/>
                <w:szCs w:val="21"/>
              </w:rPr>
              <w:t xml:space="preserve">Q3_Financial_Impact_Coastal_Solar_Pause.xlsx</w:t>
            </w:r>
            <w:r>
              <w:rPr>
                <w:rFonts w:ascii="Public Sans" w:cs="Public Sans" w:eastAsia="Public Sans" w:hAnsi="Public Sans"/>
                <w:color w:val="1A1A1A"/>
                <w:sz w:val="21"/>
                <w:szCs w:val="21"/>
              </w:rPr>
              <w:t xml:space="preserve"> [EMAIL-071] analyzes the financial effect of pausing the Program. If prepared at counsel's direction as part of a litigation-risk assessment, it is work product; if prepared in the ordinary course of financial reporting, it is not. Absent a clear indication in the document or its transmittal email of counsel's direction, flag for human review rather than presuming either way.</w:t>
            </w:r>
          </w:p>
        </w:tc>
      </w:tr>
    </w:tbl>
    <w:p>
      <w:pPr>
        <w:spacing w:after="160"/>
      </w:pPr>
      <w:r>
        <w:rPr>
          <w:sz w:val="2"/>
          <w:szCs w:val="2"/>
        </w:rPr>
        <w:t xml:space="preserve"/>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V. Work product and privilege are independent</w:t>
      </w:r>
    </w:p>
    <w:p>
      <w:pPr>
        <w:spacing w:after="140" w:line="276"/>
      </w:pPr>
      <w:r>
        <w:rPr>
          <w:rFonts w:ascii="Public Sans" w:cs="Public Sans" w:eastAsia="Public Sans" w:hAnsi="Public Sans"/>
          <w:color w:val="1A1A1A"/>
          <w:sz w:val="22"/>
          <w:szCs w:val="22"/>
        </w:rPr>
        <w:t xml:space="preserve">A document can be work product without being privileged (e.g., the GreenAcre survey and IT export scope above — factual material with no attorney-communication content). A document can be privileged without being work product (e.g., pre-trigger-date legal advice such as [EMAIL-005] or [EMAIL-012], given before the anticipation-of-litigation date). Always assess the two doctrines separately, per the Attorney-Client Privilege Definition, Section VI.</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VI. Waiver</w:t>
      </w:r>
    </w:p>
    <w:p>
      <w:pPr>
        <w:spacing w:after="140" w:line="276"/>
      </w:pPr>
      <w:r>
        <w:rPr>
          <w:rFonts w:ascii="Public Sans" w:cs="Public Sans" w:eastAsia="Public Sans" w:hAnsi="Public Sans"/>
          <w:color w:val="1A1A1A"/>
          <w:sz w:val="22"/>
          <w:szCs w:val="22"/>
        </w:rPr>
        <w:t xml:space="preserve">Work product protection is waived when the material is disclosed to an adversary or to a third party without a shared interest in maintaining confidentiality — including disclosure to the IRS, or to Alder Point Partners/Bellhaven Advisory personnel, who are not part of CTH's defense team (see the Attorney-Client Privilege Definition, Section IV).</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ublic Sans" w:cs="Public Sans" w:eastAsia="Public Sans" w:hAnsi="Public Sans"/>
        <w:color w:val="667085"/>
        <w:sz w:val="15"/>
        <w:szCs w:val="15"/>
      </w:rPr>
      <w:t xml:space="preserve">Confidential — Prepared for Legal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56D9" w:sz="12" w:space="4"/>
      </w:pBdr>
    </w:pPr>
    <w:r>
      <w:rPr>
        <w:rFonts w:ascii="Public Sans" w:cs="Public Sans" w:eastAsia="Public Sans" w:hAnsi="Public Sans"/>
        <w:b/>
        <w:bCs/>
        <w:color w:val="7F56D9"/>
        <w:sz w:val="18"/>
        <w:szCs w:val="18"/>
      </w:rPr>
      <w:t xml:space="preserve">DecoverAI</w:t>
    </w:r>
    <w:r>
      <w:rPr>
        <w:rFonts w:ascii="Public Sans" w:cs="Public Sans" w:eastAsia="Public Sans" w:hAnsi="Public Sans"/>
        <w:color w:val="667085"/>
        <w:sz w:val="16"/>
        <w:szCs w:val="16"/>
      </w:rPr>
      <w:t xml:space="preserve">   |   Legal Intelligence Simplified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2026-07-28T01:23:54.072Z</dcterms:created>
  <dcterms:modified xsi:type="dcterms:W3CDTF">2026-07-28T01:23:54.072Z</dcterms:modified>
</cp:coreProperties>
</file>

<file path=docProps/custom.xml><?xml version="1.0" encoding="utf-8"?>
<Properties xmlns="http://schemas.openxmlformats.org/officeDocument/2006/custom-properties" xmlns:vt="http://schemas.openxmlformats.org/officeDocument/2006/docPropsVTypes"/>
</file>