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4"/>
          <w:headerReference w:type="first" r:id="rId15"/>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036F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036F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036F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036FA5">
        <w:rPr>
          <w:rFonts w:ascii="GillSans" w:hAnsi="GillSans" w:cs="GillSans"/>
          <w:sz w:val="20"/>
          <w:szCs w:val="20"/>
          <w:lang w:val="en-US"/>
        </w:rPr>
        <w:pict>
          <v:shape id="_x0000_i1028" type="#_x0000_t75" style="width:521.9pt;height:.05pt" o:hrpct="0" o:hr="t">
            <v:imagedata r:id="rId16"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036F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036F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lastRenderedPageBreak/>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0040218B">
        <w:rPr>
          <w:rFonts w:ascii="GillSans" w:hAnsi="GillSans" w:cs="Arial"/>
          <w:color w:val="000000"/>
          <w:sz w:val="22"/>
          <w:szCs w:val="22"/>
        </w:rPr>
        <w:t>Decoy Community Primary School</w:t>
      </w:r>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7"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D3DC6"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7DC" w:rsidRDefault="00EC67DC">
      <w:r>
        <w:separator/>
      </w:r>
    </w:p>
  </w:endnote>
  <w:endnote w:type="continuationSeparator" w:id="0">
    <w:p w:rsidR="00EC67DC" w:rsidRDefault="00EC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7DC" w:rsidRDefault="00EC67DC">
      <w:r>
        <w:separator/>
      </w:r>
    </w:p>
  </w:footnote>
  <w:footnote w:type="continuationSeparator" w:id="0">
    <w:p w:rsidR="00EC67DC" w:rsidRDefault="00EC6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6FA5"/>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8B5"/>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18B"/>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67DC"/>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e2b82dc-5d1b-42e3-84a1-9392513e78fc" ContentTypeId="0x0101004275BB42FFA51140B08CD3739BF7BAB402" PreviousValue="false"/>
</file>

<file path=customXml/item2.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2.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39371A-EF87-4644-814B-20186BA50D14}">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4.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5.xml><?xml version="1.0" encoding="utf-8"?>
<ds:datastoreItem xmlns:ds="http://schemas.openxmlformats.org/officeDocument/2006/customXml" ds:itemID="{21A0B211-2080-4560-AFC3-B51B13C1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13602</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2022-06-30T07:55:00Z</dcterms:created>
  <dcterms:modified xsi:type="dcterms:W3CDTF">2022-06-30T07:55:00Z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