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60"/>
      </w:pPr>
    </w:p>
    <w:p>
      <w:pPr>
        <w:spacing w:after="160"/>
        <w:jc w:val="center"/>
      </w:pPr>
      <w:r>
        <w:rPr>
          <w:rFonts w:ascii="Times New Roman" w:hAnsi="Times New Roman"/>
          <w:b/>
          <w:sz w:val="48"/>
        </w:rPr>
        <w:t>Active-Sensing and Reafferent-Geometry Analysis Methods</w:t>
      </w:r>
    </w:p>
    <w:p>
      <w:pPr>
        <w:spacing w:after="80"/>
        <w:jc w:val="center"/>
      </w:pPr>
      <w:r>
        <w:rPr>
          <w:rFonts w:ascii="Times New Roman" w:hAnsi="Times New Roman"/>
          <w:sz w:val="26"/>
        </w:rPr>
        <w:t>A current methods, findings, motivations, and missing-pieces note</w:t>
      </w:r>
    </w:p>
    <w:p>
      <w:pPr>
        <w:spacing w:after="360"/>
        <w:jc w:val="center"/>
      </w:pPr>
      <w:r>
        <w:rPr>
          <w:rFonts w:ascii="Times New Roman" w:hAnsi="Times New Roman"/>
          <w:color w:val="464646"/>
          <w:sz w:val="22"/>
        </w:rPr>
        <w:t>fem-v1-fovea methods note | 2026-06-20</w:t>
      </w:r>
    </w:p>
    <w:p>
      <w:pPr>
        <w:pStyle w:val="Heading1"/>
      </w:pPr>
      <w:r>
        <w:t>Summary</w:t>
      </w:r>
    </w:p>
    <w:p>
      <w:pPr>
        <w:spacing w:after="160" w:line="288" w:lineRule="auto"/>
        <w:jc w:val="both"/>
      </w:pPr>
      <w:r>
        <w:rPr>
          <w:rFonts w:ascii="Times New Roman" w:hAnsi="Times New Roman"/>
          <w:sz w:val="22"/>
        </w:rPr>
        <w:t>This note consolidates the current FEM/V1 analysis stack into a methods-first narrative. It follows the style of the non-homogeneous-stimulus methods note: define the estimator or model, state why it was needed, report what it currently shows, and keep the claim boundary visible.</w:t>
      </w:r>
    </w:p>
    <w:p>
      <w:pPr>
        <w:spacing w:after="160" w:line="288" w:lineRule="auto"/>
        <w:jc w:val="both"/>
      </w:pPr>
      <w:r>
        <w:rPr>
          <w:rFonts w:ascii="Times New Roman" w:hAnsi="Times New Roman"/>
          <w:sz w:val="22"/>
        </w:rPr>
        <w:t>The current story has two layers. The recorded-data layer establishes that fixational eye movements are not merely nuisance noise: they account for substantial V1 rate variance, reshape covariance, and are captured by compact fitted-twin retinal-translation geometry. The active-sensing layer then asks what that self-generated retinal motion buys: empirical drift-like motion distributions add feature-decodable structure, actual local image-trace pairings can add narrower motion-delta structure, and a joint eye-image observer can recover much of the information lost when eye position is hidden.</w:t>
      </w:r>
    </w:p>
    <w:tbl>
      <w:tblPr>
        <w:tblW w:type="dxa" w:w="9360"/>
        <w:jc w:val="center"/>
        <w:tblLook w:firstColumn="1" w:firstRow="1" w:lastColumn="0" w:lastRow="0" w:noHBand="0" w:noVBand="1" w:val="04A0"/>
        <w:tblBorders>
          <w:top w:val="single" w:sz="4" w:space="0" w:color="E3E6EA"/>
          <w:left w:val="single" w:sz="4" w:space="0" w:color="E3E6EA"/>
          <w:bottom w:val="single" w:sz="4" w:space="0" w:color="E3E6EA"/>
          <w:right w:val="single" w:sz="4" w:space="0" w:color="E3E6EA"/>
          <w:insideH w:val="single" w:sz="4" w:space="0" w:color="E3E6EA"/>
          <w:insideV w:val="single" w:sz="4" w:space="0" w:color="E3E6EA"/>
        </w:tblBorders>
      </w:tblPr>
      <w:tblGrid>
        <w:gridCol w:w="9360"/>
      </w:tblGrid>
      <w:tr>
        <w:tc>
          <w:tcPr>
            <w:tcW w:type="dxa" w:w="9360"/>
            <w:shd w:fill="F4F6F9"/>
            <w:tcMar>
              <w:top w:w="120" w:type="dxa"/>
              <w:start w:w="160" w:type="dxa"/>
              <w:bottom w:w="120" w:type="dxa"/>
              <w:end w:w="160" w:type="dxa"/>
            </w:tcMar>
          </w:tcPr>
          <w:p>
            <w:pPr>
              <w:spacing w:after="80"/>
            </w:pPr>
            <w:r>
              <w:rPr>
                <w:rFonts w:ascii="Times New Roman" w:hAnsi="Times New Roman"/>
                <w:b/>
                <w:color w:val="1F4D78"/>
                <w:sz w:val="20"/>
              </w:rPr>
              <w:t>Working claim boundary</w:t>
            </w:r>
          </w:p>
          <w:p>
            <w:pPr>
              <w:spacing w:after="0" w:line="269" w:lineRule="auto"/>
            </w:pPr>
            <w:r>
              <w:rPr>
                <w:rFonts w:ascii="Times New Roman" w:hAnsi="Times New Roman"/>
                <w:sz w:val="20"/>
              </w:rPr>
              <w:t>The strongest language should be distributional and structural: FEM-like motion creates useful retinal movies and compact reafferent geometry. The current analyses do not yet show that the animal's exact trajectory is globally optimal, that one universal edge axis is preferred, or that current V1-twin response objectives predict free-viewing drift better than raw image geometry.</w:t>
            </w:r>
          </w:p>
        </w:tc>
      </w:tr>
    </w:tbl>
    <w:p>
      <w:pPr>
        <w:spacing w:after="40"/>
      </w:pPr>
    </w:p>
    <w:p>
      <w:pPr>
        <w:pStyle w:val="Heading1"/>
      </w:pPr>
      <w:r>
        <w:t>Reading Rules</w:t>
      </w:r>
    </w:p>
    <w:p>
      <w:pPr>
        <w:pStyle w:val="ListBullet"/>
        <w:spacing w:after="80" w:line="276" w:lineRule="auto"/>
        <w:ind w:left="360" w:hanging="173"/>
      </w:pPr>
      <w:r>
        <w:rPr>
          <w:rFonts w:ascii="Times New Roman" w:hAnsi="Times New Roman"/>
          <w:sz w:val="21"/>
        </w:rPr>
        <w:t>Promoted means the analysis can carry a current figure or manuscript claim with its stated guardrails.</w:t>
      </w:r>
    </w:p>
    <w:p>
      <w:pPr>
        <w:pStyle w:val="ListBullet"/>
        <w:spacing w:after="80" w:line="276" w:lineRule="auto"/>
        <w:ind w:left="360" w:hanging="173"/>
      </w:pPr>
      <w:r>
        <w:rPr>
          <w:rFonts w:ascii="Times New Roman" w:hAnsi="Times New Roman"/>
          <w:sz w:val="21"/>
        </w:rPr>
        <w:t>Supportive means the result strengthens the story but should not be the sole headline.</w:t>
      </w:r>
    </w:p>
    <w:p>
      <w:pPr>
        <w:pStyle w:val="ListBullet"/>
        <w:spacing w:after="80" w:line="276" w:lineRule="auto"/>
        <w:ind w:left="360" w:hanging="173"/>
      </w:pPr>
      <w:r>
        <w:rPr>
          <w:rFonts w:ascii="Times New Roman" w:hAnsi="Times New Roman"/>
          <w:sz w:val="21"/>
        </w:rPr>
        <w:t>Diagnostic means the machinery or negative result is useful for claim boundaries.</w:t>
      </w:r>
    </w:p>
    <w:p>
      <w:pPr>
        <w:pStyle w:val="ListBullet"/>
        <w:spacing w:after="80" w:line="276" w:lineRule="auto"/>
        <w:ind w:left="360" w:hanging="173"/>
      </w:pPr>
      <w:r>
        <w:rPr>
          <w:rFonts w:ascii="Times New Roman" w:hAnsi="Times New Roman"/>
          <w:sz w:val="21"/>
        </w:rPr>
        <w:t>Open means the analysis has a plan, partial code, or partial result, but should not be treated as settled.</w:t>
      </w:r>
    </w:p>
    <w:p>
      <w:pPr>
        <w:pStyle w:val="ListBullet"/>
        <w:spacing w:after="80" w:line="276" w:lineRule="auto"/>
        <w:ind w:left="360" w:hanging="173"/>
      </w:pPr>
      <w:r>
        <w:rPr>
          <w:rFonts w:ascii="Times New Roman" w:hAnsi="Times New Roman"/>
          <w:sz w:val="21"/>
        </w:rPr>
        <w:t>Use 'feature-decodable structure,' 'decoding gain,' or 'information proxy' for deterministic ridge/Fisher summaries unless a fixed-noise or logdet information model is explicitly added.</w:t>
      </w:r>
    </w:p>
    <w:p>
      <w:pPr>
        <w:pStyle w:val="Heading1"/>
      </w:pPr>
      <w:r>
        <w:t>Current Analysis Ledger</w:t>
      </w:r>
    </w:p>
    <w:tbl>
      <w:tblPr>
        <w:tblW w:type="dxa" w:w="9360"/>
        <w:jc w:val="center"/>
        <w:tblLook w:firstColumn="1" w:firstRow="1" w:lastColumn="0" w:lastRow="0" w:noHBand="0" w:noVBand="1" w:val="04A0"/>
        <w:tblBorders>
          <w:top w:val="single" w:sz="6" w:space="0" w:color="D7DBE2"/>
          <w:left w:val="single" w:sz="6" w:space="0" w:color="D7DBE2"/>
          <w:bottom w:val="single" w:sz="6" w:space="0" w:color="D7DBE2"/>
          <w:right w:val="single" w:sz="6" w:space="0" w:color="D7DBE2"/>
          <w:insideH w:val="single" w:sz="6" w:space="0" w:color="D7DBE2"/>
          <w:insideV w:val="single" w:sz="6" w:space="0" w:color="D7DBE2"/>
        </w:tblBorders>
      </w:tblPr>
      <w:tblGrid>
        <w:gridCol w:w="3120"/>
        <w:gridCol w:w="3120"/>
        <w:gridCol w:w="3120"/>
      </w:tblGrid>
      <w:tr>
        <w:tc>
          <w:tcPr>
            <w:tcW w:type="dxa" w:w="2232"/>
            <w:tcMar>
              <w:top w:w="90" w:type="dxa"/>
              <w:start w:w="110" w:type="dxa"/>
              <w:bottom w:w="90" w:type="dxa"/>
              <w:end w:w="110" w:type="dxa"/>
            </w:tcMar>
            <w:vAlign w:val="center"/>
            <w:shd w:fill="E8EEF5"/>
          </w:tcPr>
          <w:p>
            <w:pPr>
              <w:spacing w:after="0" w:line="259" w:lineRule="auto"/>
              <w:jc w:val="left"/>
            </w:pPr>
            <w:r>
              <w:rPr>
                <w:rFonts w:ascii="Times New Roman" w:hAnsi="Times New Roman"/>
                <w:b/>
                <w:color w:val="1F4D78"/>
                <w:sz w:val="18"/>
              </w:rPr>
              <w:t>Analysis</w:t>
            </w:r>
          </w:p>
        </w:tc>
        <w:tc>
          <w:tcPr>
            <w:tcW w:type="dxa" w:w="3816"/>
            <w:tcMar>
              <w:top w:w="90" w:type="dxa"/>
              <w:start w:w="110" w:type="dxa"/>
              <w:bottom w:w="90" w:type="dxa"/>
              <w:end w:w="110" w:type="dxa"/>
            </w:tcMar>
            <w:vAlign w:val="center"/>
            <w:shd w:fill="E8EEF5"/>
          </w:tcPr>
          <w:p>
            <w:pPr>
              <w:spacing w:after="0" w:line="259" w:lineRule="auto"/>
              <w:jc w:val="left"/>
            </w:pPr>
            <w:r>
              <w:rPr>
                <w:rFonts w:ascii="Times New Roman" w:hAnsi="Times New Roman"/>
                <w:b/>
                <w:color w:val="1F4D78"/>
                <w:sz w:val="18"/>
              </w:rPr>
              <w:t>Current finding</w:t>
            </w:r>
          </w:p>
        </w:tc>
        <w:tc>
          <w:tcPr>
            <w:tcW w:type="dxa" w:w="3311"/>
            <w:tcMar>
              <w:top w:w="90" w:type="dxa"/>
              <w:start w:w="110" w:type="dxa"/>
              <w:bottom w:w="90" w:type="dxa"/>
              <w:end w:w="110" w:type="dxa"/>
            </w:tcMar>
            <w:vAlign w:val="center"/>
            <w:shd w:fill="E8EEF5"/>
          </w:tcPr>
          <w:p>
            <w:pPr>
              <w:spacing w:after="0" w:line="259" w:lineRule="auto"/>
              <w:jc w:val="left"/>
            </w:pPr>
            <w:r>
              <w:rPr>
                <w:rFonts w:ascii="Times New Roman" w:hAnsi="Times New Roman"/>
                <w:b/>
                <w:color w:val="1F4D78"/>
                <w:sz w:val="18"/>
              </w:rPr>
              <w:t>Boundary or missing piece</w:t>
            </w:r>
          </w:p>
        </w:tc>
      </w:tr>
      <w:tr>
        <w:tc>
          <w:tcPr>
            <w:tcW w:type="dxa" w:w="2232"/>
            <w:tcMar>
              <w:top w:w="90" w:type="dxa"/>
              <w:start w:w="110" w:type="dxa"/>
              <w:bottom w:w="90" w:type="dxa"/>
              <w:end w:w="110" w:type="dxa"/>
            </w:tcMar>
            <w:vAlign w:val="center"/>
          </w:tcPr>
          <w:p>
            <w:pPr>
              <w:spacing w:after="0" w:line="259" w:lineRule="auto"/>
              <w:jc w:val="left"/>
            </w:pPr>
            <w:r>
              <w:rPr>
                <w:rFonts w:ascii="Times New Roman" w:hAnsi="Times New Roman"/>
                <w:b w:val="0"/>
                <w:color w:val="000000"/>
                <w:sz w:val="17"/>
              </w:rPr>
              <w:t>Estimator extension</w:t>
            </w:r>
          </w:p>
        </w:tc>
        <w:tc>
          <w:tcPr>
            <w:tcW w:type="dxa" w:w="3816"/>
            <w:tcMar>
              <w:top w:w="90" w:type="dxa"/>
              <w:start w:w="110" w:type="dxa"/>
              <w:bottom w:w="90" w:type="dxa"/>
              <w:end w:w="110" w:type="dxa"/>
            </w:tcMar>
            <w:vAlign w:val="center"/>
          </w:tcPr>
          <w:p>
            <w:pPr>
              <w:spacing w:after="0" w:line="259" w:lineRule="auto"/>
              <w:jc w:val="left"/>
            </w:pPr>
            <w:r>
              <w:rPr>
                <w:rFonts w:ascii="Times New Roman" w:hAnsi="Times New Roman"/>
                <w:b w:val="0"/>
                <w:color w:val="000000"/>
                <w:sz w:val="17"/>
              </w:rPr>
              <w:t>Prior estimator-note outputs motivate pair-count time weighting and eye-distribution matching, but their exact numeric examples are not currently repo-auditable.</w:t>
            </w:r>
          </w:p>
        </w:tc>
        <w:tc>
          <w:tcPr>
            <w:tcW w:type="dxa" w:w="3311"/>
            <w:tcMar>
              <w:top w:w="90" w:type="dxa"/>
              <w:start w:w="110" w:type="dxa"/>
              <w:bottom w:w="90" w:type="dxa"/>
              <w:end w:w="110" w:type="dxa"/>
            </w:tcMar>
            <w:vAlign w:val="center"/>
          </w:tcPr>
          <w:p>
            <w:pPr>
              <w:spacing w:after="0" w:line="259" w:lineRule="auto"/>
              <w:jc w:val="left"/>
            </w:pPr>
            <w:r>
              <w:rPr>
                <w:rFonts w:ascii="Times New Roman" w:hAnsi="Times New Roman"/>
                <w:b w:val="0"/>
                <w:color w:val="000000"/>
                <w:sz w:val="17"/>
              </w:rPr>
              <w:t>Keep the conceptual correction; attach or regenerate current estimator tables before using the quoted values as headline numbers.</w:t>
            </w:r>
          </w:p>
        </w:tc>
      </w:tr>
      <w:tr>
        <w:tc>
          <w:tcPr>
            <w:tcW w:type="dxa" w:w="2232"/>
            <w:tcMar>
              <w:top w:w="90" w:type="dxa"/>
              <w:start w:w="110" w:type="dxa"/>
              <w:bottom w:w="90" w:type="dxa"/>
              <w:end w:w="110" w:type="dxa"/>
            </w:tcMar>
            <w:vAlign w:val="center"/>
          </w:tcPr>
          <w:p>
            <w:pPr>
              <w:spacing w:after="0" w:line="259" w:lineRule="auto"/>
              <w:jc w:val="left"/>
            </w:pPr>
            <w:r>
              <w:rPr>
                <w:rFonts w:ascii="Times New Roman" w:hAnsi="Times New Roman"/>
                <w:b w:val="0"/>
                <w:color w:val="000000"/>
                <w:sz w:val="17"/>
              </w:rPr>
              <w:t>Recorded covariance decomposition</w:t>
            </w:r>
          </w:p>
        </w:tc>
        <w:tc>
          <w:tcPr>
            <w:tcW w:type="dxa" w:w="3816"/>
            <w:tcMar>
              <w:top w:w="90" w:type="dxa"/>
              <w:start w:w="110" w:type="dxa"/>
              <w:bottom w:w="90" w:type="dxa"/>
              <w:end w:w="110" w:type="dxa"/>
            </w:tcMar>
            <w:vAlign w:val="center"/>
          </w:tcPr>
          <w:p>
            <w:pPr>
              <w:spacing w:after="0" w:line="259" w:lineRule="auto"/>
              <w:jc w:val="left"/>
            </w:pPr>
            <w:r>
              <w:rPr>
                <w:rFonts w:ascii="Times New Roman" w:hAnsi="Times New Roman"/>
                <w:b w:val="0"/>
                <w:color w:val="000000"/>
                <w:sz w:val="17"/>
              </w:rPr>
              <w:t>FEMs explain a large fraction of rate variance and much of the classical residual covariance, but corrected residual covariance is not literally zero under the matched estimator.</w:t>
            </w:r>
          </w:p>
        </w:tc>
        <w:tc>
          <w:tcPr>
            <w:tcW w:type="dxa" w:w="3311"/>
            <w:tcMar>
              <w:top w:w="90" w:type="dxa"/>
              <w:start w:w="110" w:type="dxa"/>
              <w:bottom w:w="90" w:type="dxa"/>
              <w:end w:w="110" w:type="dxa"/>
            </w:tcMar>
            <w:vAlign w:val="center"/>
          </w:tcPr>
          <w:p>
            <w:pPr>
              <w:spacing w:after="0" w:line="259" w:lineRule="auto"/>
              <w:jc w:val="left"/>
            </w:pPr>
            <w:r>
              <w:rPr>
                <w:rFonts w:ascii="Times New Roman" w:hAnsi="Times New Roman"/>
                <w:b w:val="0"/>
                <w:color w:val="000000"/>
                <w:sz w:val="17"/>
              </w:rPr>
              <w:t>Do not overstate total removal of noise correlations.</w:t>
            </w:r>
          </w:p>
        </w:tc>
      </w:tr>
      <w:tr>
        <w:tc>
          <w:tcPr>
            <w:tcW w:type="dxa" w:w="2232"/>
            <w:tcMar>
              <w:top w:w="90" w:type="dxa"/>
              <w:start w:w="110" w:type="dxa"/>
              <w:bottom w:w="90" w:type="dxa"/>
              <w:end w:w="110" w:type="dxa"/>
            </w:tcMar>
            <w:vAlign w:val="center"/>
          </w:tcPr>
          <w:p>
            <w:pPr>
              <w:spacing w:after="0" w:line="259" w:lineRule="auto"/>
              <w:jc w:val="left"/>
            </w:pPr>
            <w:r>
              <w:rPr>
                <w:rFonts w:ascii="Times New Roman" w:hAnsi="Times New Roman"/>
                <w:b w:val="0"/>
                <w:color w:val="000000"/>
                <w:sz w:val="17"/>
              </w:rPr>
              <w:t>Compact retinal-translation geometry</w:t>
            </w:r>
          </w:p>
        </w:tc>
        <w:tc>
          <w:tcPr>
            <w:tcW w:type="dxa" w:w="3816"/>
            <w:tcMar>
              <w:top w:w="90" w:type="dxa"/>
              <w:start w:w="110" w:type="dxa"/>
              <w:bottom w:w="90" w:type="dxa"/>
              <w:end w:w="110" w:type="dxa"/>
            </w:tcMar>
            <w:vAlign w:val="center"/>
          </w:tcPr>
          <w:p>
            <w:pPr>
              <w:spacing w:after="0" w:line="259" w:lineRule="auto"/>
              <w:jc w:val="left"/>
            </w:pPr>
            <w:r>
              <w:rPr>
                <w:rFonts w:ascii="Times New Roman" w:hAnsi="Times New Roman"/>
                <w:b w:val="0"/>
                <w:color w:val="000000"/>
                <w:sz w:val="17"/>
              </w:rPr>
              <w:t>Small retinal translations produce image-dependent response changes that live in a compact, image-generalizing population geometry.</w:t>
            </w:r>
          </w:p>
        </w:tc>
        <w:tc>
          <w:tcPr>
            <w:tcW w:type="dxa" w:w="3311"/>
            <w:tcMar>
              <w:top w:w="90" w:type="dxa"/>
              <w:start w:w="110" w:type="dxa"/>
              <w:bottom w:w="90" w:type="dxa"/>
              <w:end w:w="110" w:type="dxa"/>
            </w:tcMar>
            <w:vAlign w:val="center"/>
          </w:tcPr>
          <w:p>
            <w:pPr>
              <w:spacing w:after="0" w:line="259" w:lineRule="auto"/>
              <w:jc w:val="left"/>
            </w:pPr>
            <w:r>
              <w:rPr>
                <w:rFonts w:ascii="Times New Roman" w:hAnsi="Times New Roman"/>
                <w:b w:val="0"/>
                <w:color w:val="000000"/>
                <w:sz w:val="17"/>
              </w:rPr>
              <w:t>Not a universal signed 2D eye-position map and not a behavior or optimality claim.</w:t>
            </w:r>
          </w:p>
        </w:tc>
      </w:tr>
      <w:tr>
        <w:tc>
          <w:tcPr>
            <w:tcW w:type="dxa" w:w="2232"/>
            <w:tcMar>
              <w:top w:w="90" w:type="dxa"/>
              <w:start w:w="110" w:type="dxa"/>
              <w:bottom w:w="90" w:type="dxa"/>
              <w:end w:w="110" w:type="dxa"/>
            </w:tcMar>
            <w:vAlign w:val="center"/>
          </w:tcPr>
          <w:p>
            <w:pPr>
              <w:spacing w:after="0" w:line="259" w:lineRule="auto"/>
              <w:jc w:val="left"/>
            </w:pPr>
            <w:r>
              <w:rPr>
                <w:rFonts w:ascii="Times New Roman" w:hAnsi="Times New Roman"/>
                <w:b w:val="0"/>
                <w:color w:val="000000"/>
                <w:sz w:val="17"/>
              </w:rPr>
              <w:t>Matched covariance closure</w:t>
            </w:r>
          </w:p>
        </w:tc>
        <w:tc>
          <w:tcPr>
            <w:tcW w:type="dxa" w:w="3816"/>
            <w:tcMar>
              <w:top w:w="90" w:type="dxa"/>
              <w:start w:w="110" w:type="dxa"/>
              <w:bottom w:w="90" w:type="dxa"/>
              <w:end w:w="110" w:type="dxa"/>
            </w:tcMar>
            <w:vAlign w:val="center"/>
          </w:tcPr>
          <w:p>
            <w:pPr>
              <w:spacing w:after="0" w:line="259" w:lineRule="auto"/>
              <w:jc w:val="left"/>
            </w:pPr>
            <w:r>
              <w:rPr>
                <w:rFonts w:ascii="Times New Roman" w:hAnsi="Times New Roman"/>
                <w:b w:val="0"/>
                <w:color w:val="000000"/>
                <w:sz w:val="17"/>
              </w:rPr>
              <w:t>Finite-difference fitted-twin translation sources, including compact-restricted sources, predict recorded FEM-linked covariance above nulls in matched recorded/twin unit space.</w:t>
            </w:r>
          </w:p>
        </w:tc>
        <w:tc>
          <w:tcPr>
            <w:tcW w:type="dxa" w:w="3311"/>
            <w:tcMar>
              <w:top w:w="90" w:type="dxa"/>
              <w:start w:w="110" w:type="dxa"/>
              <w:bottom w:w="90" w:type="dxa"/>
              <w:end w:w="110" w:type="dxa"/>
            </w:tcMar>
            <w:vAlign w:val="center"/>
          </w:tcPr>
          <w:p>
            <w:pPr>
              <w:spacing w:after="0" w:line="259" w:lineRule="auto"/>
              <w:jc w:val="left"/>
            </w:pPr>
            <w:r>
              <w:rPr>
                <w:rFonts w:ascii="Times New Roman" w:hAnsi="Times New Roman"/>
                <w:b w:val="0"/>
                <w:color w:val="000000"/>
                <w:sz w:val="17"/>
              </w:rPr>
              <w:t>A reliable component, not a full reproduction of recorded covariance.</w:t>
            </w:r>
          </w:p>
        </w:tc>
      </w:tr>
      <w:tr>
        <w:tc>
          <w:tcPr>
            <w:tcW w:type="dxa" w:w="2232"/>
            <w:tcMar>
              <w:top w:w="90" w:type="dxa"/>
              <w:start w:w="110" w:type="dxa"/>
              <w:bottom w:w="90" w:type="dxa"/>
              <w:end w:w="110" w:type="dxa"/>
            </w:tcMar>
            <w:vAlign w:val="center"/>
          </w:tcPr>
          <w:p>
            <w:pPr>
              <w:spacing w:after="0" w:line="259" w:lineRule="auto"/>
              <w:jc w:val="left"/>
            </w:pPr>
            <w:r>
              <w:rPr>
                <w:rFonts w:ascii="Times New Roman" w:hAnsi="Times New Roman"/>
                <w:b w:val="0"/>
                <w:color w:val="000000"/>
                <w:sz w:val="17"/>
              </w:rPr>
              <w:t>Aggregate FEM-distribution model</w:t>
            </w:r>
          </w:p>
        </w:tc>
        <w:tc>
          <w:tcPr>
            <w:tcW w:type="dxa" w:w="3816"/>
            <w:tcMar>
              <w:top w:w="90" w:type="dxa"/>
              <w:start w:w="110" w:type="dxa"/>
              <w:bottom w:w="90" w:type="dxa"/>
              <w:end w:w="110" w:type="dxa"/>
            </w:tcMar>
            <w:vAlign w:val="center"/>
          </w:tcPr>
          <w:p>
            <w:pPr>
              <w:spacing w:after="0" w:line="259" w:lineRule="auto"/>
              <w:jc w:val="left"/>
            </w:pPr>
            <w:r>
              <w:rPr>
                <w:rFonts w:ascii="Times New Roman" w:hAnsi="Times New Roman"/>
                <w:b w:val="0"/>
                <w:color w:val="000000"/>
                <w:sz w:val="17"/>
              </w:rPr>
              <w:t>Empirical drift-like movies add feature-decodable structure beyond static responses and robustly beat OU controls in the cleaned n=256 run.</w:t>
            </w:r>
          </w:p>
        </w:tc>
        <w:tc>
          <w:tcPr>
            <w:tcW w:type="dxa" w:w="3311"/>
            <w:tcMar>
              <w:top w:w="90" w:type="dxa"/>
              <w:start w:w="110" w:type="dxa"/>
              <w:bottom w:w="90" w:type="dxa"/>
              <w:end w:w="110" w:type="dxa"/>
            </w:tcMar>
            <w:vAlign w:val="center"/>
          </w:tcPr>
          <w:p>
            <w:pPr>
              <w:spacing w:after="0" w:line="259" w:lineRule="auto"/>
              <w:jc w:val="left"/>
            </w:pPr>
            <w:r>
              <w:rPr>
                <w:rFonts w:ascii="Times New Roman" w:hAnsi="Times New Roman"/>
                <w:b w:val="0"/>
                <w:color w:val="000000"/>
                <w:sz w:val="17"/>
              </w:rPr>
              <w:t>Distributional claim only; Brownian/rotated controls narrow specificity at larger scales.</w:t>
            </w:r>
          </w:p>
        </w:tc>
      </w:tr>
      <w:tr>
        <w:tc>
          <w:tcPr>
            <w:tcW w:type="dxa" w:w="2232"/>
            <w:tcMar>
              <w:top w:w="90" w:type="dxa"/>
              <w:start w:w="110" w:type="dxa"/>
              <w:bottom w:w="90" w:type="dxa"/>
              <w:end w:w="110" w:type="dxa"/>
            </w:tcMar>
            <w:vAlign w:val="center"/>
          </w:tcPr>
          <w:p>
            <w:pPr>
              <w:spacing w:after="0" w:line="259" w:lineRule="auto"/>
              <w:jc w:val="left"/>
            </w:pPr>
            <w:r>
              <w:rPr>
                <w:rFonts w:ascii="Times New Roman" w:hAnsi="Times New Roman"/>
                <w:b w:val="0"/>
                <w:color w:val="000000"/>
                <w:sz w:val="17"/>
              </w:rPr>
              <w:t>Local image-trace pairing</w:t>
            </w:r>
          </w:p>
        </w:tc>
        <w:tc>
          <w:tcPr>
            <w:tcW w:type="dxa" w:w="3816"/>
            <w:tcMar>
              <w:top w:w="90" w:type="dxa"/>
              <w:start w:w="110" w:type="dxa"/>
              <w:bottom w:w="90" w:type="dxa"/>
              <w:end w:w="110" w:type="dxa"/>
            </w:tcMar>
            <w:vAlign w:val="center"/>
          </w:tcPr>
          <w:p>
            <w:pPr>
              <w:spacing w:after="0" w:line="259" w:lineRule="auto"/>
              <w:jc w:val="left"/>
            </w:pPr>
            <w:r>
              <w:rPr>
                <w:rFonts w:ascii="Times New Roman" w:hAnsi="Times New Roman"/>
                <w:b w:val="0"/>
                <w:color w:val="000000"/>
                <w:sz w:val="17"/>
              </w:rPr>
              <w:t>Actual image-trace pairings beat matched unpaired trace swaps for delta_mean in corrected Gabor and pyramid local fields.</w:t>
            </w:r>
          </w:p>
        </w:tc>
        <w:tc>
          <w:tcPr>
            <w:tcW w:type="dxa" w:w="3311"/>
            <w:tcMar>
              <w:top w:w="90" w:type="dxa"/>
              <w:start w:w="110" w:type="dxa"/>
              <w:bottom w:w="90" w:type="dxa"/>
              <w:end w:w="110" w:type="dxa"/>
            </w:tcMar>
            <w:vAlign w:val="center"/>
          </w:tcPr>
          <w:p>
            <w:pPr>
              <w:spacing w:after="0" w:line="259" w:lineRule="auto"/>
              <w:jc w:val="left"/>
            </w:pPr>
            <w:r>
              <w:rPr>
                <w:rFonts w:ascii="Times New Roman" w:hAnsi="Times New Roman"/>
                <w:b w:val="0"/>
                <w:color w:val="000000"/>
                <w:sz w:val="17"/>
              </w:rPr>
              <w:t>Scope the positive claim to delta_mean; temporal PCA/DCT rows are not yet a clean actual-pairing advantage.</w:t>
            </w:r>
          </w:p>
        </w:tc>
      </w:tr>
      <w:tr>
        <w:tc>
          <w:tcPr>
            <w:tcW w:type="dxa" w:w="2232"/>
            <w:tcMar>
              <w:top w:w="90" w:type="dxa"/>
              <w:start w:w="110" w:type="dxa"/>
              <w:bottom w:w="90" w:type="dxa"/>
              <w:end w:w="110" w:type="dxa"/>
            </w:tcMar>
            <w:vAlign w:val="center"/>
          </w:tcPr>
          <w:p>
            <w:pPr>
              <w:spacing w:after="0" w:line="259" w:lineRule="auto"/>
              <w:jc w:val="left"/>
            </w:pPr>
            <w:r>
              <w:rPr>
                <w:rFonts w:ascii="Times New Roman" w:hAnsi="Times New Roman"/>
                <w:b w:val="0"/>
                <w:color w:val="000000"/>
                <w:sz w:val="17"/>
              </w:rPr>
              <w:t>Joint eye-image observer</w:t>
            </w:r>
          </w:p>
        </w:tc>
        <w:tc>
          <w:tcPr>
            <w:tcW w:type="dxa" w:w="3816"/>
            <w:tcMar>
              <w:top w:w="90" w:type="dxa"/>
              <w:start w:w="110" w:type="dxa"/>
              <w:bottom w:w="90" w:type="dxa"/>
              <w:end w:w="110" w:type="dxa"/>
            </w:tcMar>
            <w:vAlign w:val="center"/>
          </w:tcPr>
          <w:p>
            <w:pPr>
              <w:spacing w:after="0" w:line="259" w:lineRule="auto"/>
              <w:jc w:val="left"/>
            </w:pPr>
            <w:r>
              <w:rPr>
                <w:rFonts w:ascii="Times New Roman" w:hAnsi="Times New Roman"/>
                <w:b w:val="0"/>
                <w:color w:val="000000"/>
                <w:sz w:val="17"/>
              </w:rPr>
              <w:t>Finite-table joint inference recovers much of the known-eye minus zero-eye image-identity gap under matched-static distractors.</w:t>
            </w:r>
          </w:p>
        </w:tc>
        <w:tc>
          <w:tcPr>
            <w:tcW w:type="dxa" w:w="3311"/>
            <w:tcMar>
              <w:top w:w="90" w:type="dxa"/>
              <w:start w:w="110" w:type="dxa"/>
              <w:bottom w:w="90" w:type="dxa"/>
              <w:end w:w="110" w:type="dxa"/>
            </w:tcMar>
            <w:vAlign w:val="center"/>
          </w:tcPr>
          <w:p>
            <w:pPr>
              <w:spacing w:after="0" w:line="259" w:lineRule="auto"/>
              <w:jc w:val="left"/>
            </w:pPr>
            <w:r>
              <w:rPr>
                <w:rFonts w:ascii="Times New Roman" w:hAnsi="Times New Roman"/>
                <w:b w:val="0"/>
                <w:color w:val="000000"/>
                <w:sz w:val="17"/>
              </w:rPr>
              <w:t>Not literal mutual information, not a continuous particle filter, and not yet compact-only.</w:t>
            </w:r>
          </w:p>
        </w:tc>
      </w:tr>
      <w:tr>
        <w:tc>
          <w:tcPr>
            <w:tcW w:type="dxa" w:w="2232"/>
            <w:tcMar>
              <w:top w:w="90" w:type="dxa"/>
              <w:start w:w="110" w:type="dxa"/>
              <w:bottom w:w="90" w:type="dxa"/>
              <w:end w:w="110" w:type="dxa"/>
            </w:tcMar>
            <w:vAlign w:val="center"/>
          </w:tcPr>
          <w:p>
            <w:pPr>
              <w:spacing w:after="0" w:line="259" w:lineRule="auto"/>
              <w:jc w:val="left"/>
            </w:pPr>
            <w:r>
              <w:rPr>
                <w:rFonts w:ascii="Times New Roman" w:hAnsi="Times New Roman"/>
                <w:b w:val="0"/>
                <w:color w:val="000000"/>
                <w:sz w:val="17"/>
              </w:rPr>
              <w:t>Image-axis and behavior analyses</w:t>
            </w:r>
          </w:p>
        </w:tc>
        <w:tc>
          <w:tcPr>
            <w:tcW w:type="dxa" w:w="3816"/>
            <w:tcMar>
              <w:top w:w="90" w:type="dxa"/>
              <w:start w:w="110" w:type="dxa"/>
              <w:bottom w:w="90" w:type="dxa"/>
              <w:end w:w="110" w:type="dxa"/>
            </w:tcMar>
            <w:vAlign w:val="center"/>
          </w:tcPr>
          <w:p>
            <w:pPr>
              <w:spacing w:after="0" w:line="259" w:lineRule="auto"/>
              <w:jc w:val="left"/>
            </w:pPr>
            <w:r>
              <w:rPr>
                <w:rFonts w:ascii="Times New Roman" w:hAnsi="Times New Roman"/>
                <w:b w:val="0"/>
                <w:color w:val="000000"/>
                <w:sz w:val="17"/>
              </w:rPr>
              <w:t>Measured BackImage drift aligns with raw local edge geometry in the current 30-session Panel E tables; edge-parallel motion preserves local pixels and twin responses.</w:t>
            </w:r>
          </w:p>
        </w:tc>
        <w:tc>
          <w:tcPr>
            <w:tcW w:type="dxa" w:w="3311"/>
            <w:tcMar>
              <w:top w:w="90" w:type="dxa"/>
              <w:start w:w="110" w:type="dxa"/>
              <w:bottom w:w="90" w:type="dxa"/>
              <w:end w:w="110" w:type="dxa"/>
            </w:tcMar>
            <w:vAlign w:val="center"/>
          </w:tcPr>
          <w:p>
            <w:pPr>
              <w:spacing w:after="0" w:line="259" w:lineRule="auto"/>
              <w:jc w:val="left"/>
            </w:pPr>
            <w:r>
              <w:rPr>
                <w:rFonts w:ascii="Times New Roman" w:hAnsi="Times New Roman"/>
                <w:b w:val="0"/>
                <w:color w:val="000000"/>
                <w:sz w:val="17"/>
              </w:rPr>
              <w:t>Current V1-twin objectives do not beat raw edge geometry as behavior predictors.</w:t>
            </w:r>
          </w:p>
        </w:tc>
      </w:tr>
      <w:tr>
        <w:tc>
          <w:tcPr>
            <w:tcW w:type="dxa" w:w="2232"/>
            <w:tcMar>
              <w:top w:w="90" w:type="dxa"/>
              <w:start w:w="110" w:type="dxa"/>
              <w:bottom w:w="90" w:type="dxa"/>
              <w:end w:w="110" w:type="dxa"/>
            </w:tcMar>
            <w:vAlign w:val="center"/>
          </w:tcPr>
          <w:p>
            <w:pPr>
              <w:spacing w:after="0" w:line="259" w:lineRule="auto"/>
              <w:jc w:val="left"/>
            </w:pPr>
            <w:r>
              <w:rPr>
                <w:rFonts w:ascii="Times New Roman" w:hAnsi="Times New Roman"/>
                <w:b w:val="0"/>
                <w:color w:val="000000"/>
                <w:sz w:val="17"/>
              </w:rPr>
              <w:t>Covariance-aware and whitening branches</w:t>
            </w:r>
          </w:p>
        </w:tc>
        <w:tc>
          <w:tcPr>
            <w:tcW w:type="dxa" w:w="3816"/>
            <w:tcMar>
              <w:top w:w="90" w:type="dxa"/>
              <w:start w:w="110" w:type="dxa"/>
              <w:bottom w:w="90" w:type="dxa"/>
              <w:end w:w="110" w:type="dxa"/>
            </w:tcMar>
            <w:vAlign w:val="center"/>
          </w:tcPr>
          <w:p>
            <w:pPr>
              <w:spacing w:after="0" w:line="259" w:lineRule="auto"/>
              <w:jc w:val="left"/>
            </w:pPr>
            <w:r>
              <w:rPr>
                <w:rFonts w:ascii="Times New Roman" w:hAnsi="Times New Roman"/>
                <w:b w:val="0"/>
                <w:color w:val="000000"/>
                <w:sz w:val="17"/>
              </w:rPr>
              <w:t>Empirical scale is often on an efficient twin plateau, and pose-aware accounting recovers information discarded by pose-blind accounting.</w:t>
            </w:r>
          </w:p>
        </w:tc>
        <w:tc>
          <w:tcPr>
            <w:tcW w:type="dxa" w:w="3311"/>
            <w:tcMar>
              <w:top w:w="90" w:type="dxa"/>
              <w:start w:w="110" w:type="dxa"/>
              <w:bottom w:w="90" w:type="dxa"/>
              <w:end w:w="110" w:type="dxa"/>
            </w:tcMar>
            <w:vAlign w:val="center"/>
          </w:tcPr>
          <w:p>
            <w:pPr>
              <w:spacing w:after="0" w:line="259" w:lineRule="auto"/>
              <w:jc w:val="left"/>
            </w:pPr>
            <w:r>
              <w:rPr>
                <w:rFonts w:ascii="Times New Roman" w:hAnsi="Times New Roman"/>
                <w:b w:val="0"/>
                <w:color w:val="000000"/>
                <w:sz w:val="17"/>
              </w:rPr>
              <w:t>No unique optimum; raw input whitening alone does not set biological scale.</w:t>
            </w:r>
          </w:p>
        </w:tc>
      </w:tr>
      <w:tr>
        <w:tc>
          <w:tcPr>
            <w:tcW w:type="dxa" w:w="2232"/>
            <w:tcMar>
              <w:top w:w="90" w:type="dxa"/>
              <w:start w:w="110" w:type="dxa"/>
              <w:bottom w:w="90" w:type="dxa"/>
              <w:end w:w="110" w:type="dxa"/>
            </w:tcMar>
            <w:vAlign w:val="center"/>
          </w:tcPr>
          <w:p>
            <w:pPr>
              <w:spacing w:after="0" w:line="259" w:lineRule="auto"/>
              <w:jc w:val="left"/>
            </w:pPr>
            <w:r>
              <w:rPr>
                <w:rFonts w:ascii="Times New Roman" w:hAnsi="Times New Roman"/>
                <w:b w:val="0"/>
                <w:color w:val="000000"/>
                <w:sz w:val="17"/>
              </w:rPr>
              <w:t>Recorded GLM / decoders / chart swap</w:t>
            </w:r>
          </w:p>
        </w:tc>
        <w:tc>
          <w:tcPr>
            <w:tcW w:type="dxa" w:w="3816"/>
            <w:tcMar>
              <w:top w:w="90" w:type="dxa"/>
              <w:start w:w="110" w:type="dxa"/>
              <w:bottom w:w="90" w:type="dxa"/>
              <w:end w:w="110" w:type="dxa"/>
            </w:tcMar>
            <w:vAlign w:val="center"/>
          </w:tcPr>
          <w:p>
            <w:pPr>
              <w:spacing w:after="0" w:line="259" w:lineRule="auto"/>
              <w:jc w:val="left"/>
            </w:pPr>
            <w:r>
              <w:rPr>
                <w:rFonts w:ascii="Times New Roman" w:hAnsi="Times New Roman"/>
                <w:b w:val="0"/>
                <w:color w:val="000000"/>
                <w:sz w:val="17"/>
              </w:rPr>
              <w:t>These branches are technically informative but currently controlled nulls, fragile diagnostics, or smoke/preview outputs.</w:t>
            </w:r>
          </w:p>
        </w:tc>
        <w:tc>
          <w:tcPr>
            <w:tcW w:type="dxa" w:w="3311"/>
            <w:tcMar>
              <w:top w:w="90" w:type="dxa"/>
              <w:start w:w="110" w:type="dxa"/>
              <w:bottom w:w="90" w:type="dxa"/>
              <w:end w:w="110" w:type="dxa"/>
            </w:tcMar>
            <w:vAlign w:val="center"/>
          </w:tcPr>
          <w:p>
            <w:pPr>
              <w:spacing w:after="0" w:line="259" w:lineRule="auto"/>
              <w:jc w:val="left"/>
            </w:pPr>
            <w:r>
              <w:rPr>
                <w:rFonts w:ascii="Times New Roman" w:hAnsi="Times New Roman"/>
                <w:b w:val="0"/>
                <w:color w:val="000000"/>
                <w:sz w:val="17"/>
              </w:rPr>
              <w:t>Use them as guardrails, not main claims.</w:t>
            </w:r>
          </w:p>
        </w:tc>
      </w:tr>
    </w:tbl>
    <w:p>
      <w:pPr>
        <w:spacing w:after="80"/>
      </w:pPr>
    </w:p>
    <w:p>
      <w:pPr>
        <w:pStyle w:val="Heading1"/>
      </w:pPr>
      <w:r>
        <w:t>1. Estimator Foundation: McFarland Extension</w:t>
      </w:r>
    </w:p>
    <w:p>
      <w:pPr>
        <w:spacing w:after="160" w:line="288" w:lineRule="auto"/>
        <w:jc w:val="both"/>
      </w:pPr>
      <w:r>
        <w:rPr>
          <w:rFonts w:ascii="Times New Roman" w:hAnsi="Times New Roman"/>
          <w:sz w:val="22"/>
        </w:rPr>
        <w:t>The covariance and Fano analyses depend on a cross-trial, eye-position-conditioned decomposition derived from McFarland, Cumming, and Butts. The original estimator assumes uniform trial/time-bin structure and a statistically stationary stimulus. Both assumptions fail in our fixRSVP setting: fixation duration changes the number of trials available at each analysis bin, and the windowed natural image makes the firing rate depend on absolute eye position.</w:t>
      </w:r>
    </w:p>
    <w:p>
      <w:pPr>
        <w:pStyle w:val="Heading2"/>
      </w:pPr>
      <w:r>
        <w:t>1.1 Consistent time-bin weighting</w:t>
      </w:r>
    </w:p>
    <w:p>
      <w:pPr>
        <w:spacing w:after="140" w:line="283" w:lineRule="auto"/>
        <w:jc w:val="both"/>
      </w:pPr>
      <w:r>
        <w:rPr>
          <w:rFonts w:ascii="Times New Roman" w:hAnsi="Times New Roman"/>
          <w:b/>
          <w:sz w:val="22"/>
        </w:rPr>
        <w:t xml:space="preserve">Motivation. </w:t>
      </w:r>
      <w:r>
        <w:rPr>
          <w:rFonts w:ascii="Times New Roman" w:hAnsi="Times New Roman"/>
          <w:sz w:val="22"/>
        </w:rPr>
        <w:t>Variable fixation durations create nonuniform trial counts across time bins. If the total covariance, PSTH covariance, close-pair rate covariance, and mean subtractor are averaged with different bin weights, the law-of-total-covariance terms no longer live on one common measure.</w:t>
      </w:r>
    </w:p>
    <w:p>
      <w:pPr>
        <w:spacing w:after="140" w:line="283" w:lineRule="auto"/>
        <w:jc w:val="both"/>
      </w:pPr>
      <w:r>
        <w:rPr>
          <w:rFonts w:ascii="Times New Roman" w:hAnsi="Times New Roman"/>
          <w:b/>
          <w:sz w:val="22"/>
        </w:rPr>
        <w:t xml:space="preserve">Method. </w:t>
      </w:r>
      <w:r>
        <w:rPr>
          <w:rFonts w:ascii="Times New Roman" w:hAnsi="Times New Roman"/>
          <w:sz w:val="22"/>
        </w:rPr>
        <w:t>The fix is to pin every term to one across-bin weighting. Two consistent directions are available: uniform bin weighting and pair-count weighting. We default to pair-count weighting because the close-pair second moment is intrinsically pair-count sampled and this choice has lower finite-sample variance in the production setting.</w:t>
      </w:r>
    </w:p>
    <w:p>
      <w:pPr>
        <w:spacing w:after="140" w:line="283" w:lineRule="auto"/>
        <w:jc w:val="both"/>
      </w:pPr>
      <w:r>
        <w:rPr>
          <w:rFonts w:ascii="Times New Roman" w:hAnsi="Times New Roman"/>
          <w:b/>
          <w:sz w:val="22"/>
        </w:rPr>
        <w:t xml:space="preserve">Current finding. </w:t>
      </w:r>
      <w:r>
        <w:rPr>
          <w:rFonts w:ascii="Times New Roman" w:hAnsi="Times New Roman"/>
          <w:sz w:val="22"/>
        </w:rPr>
        <w:t>Prior-analysis note, not currently repo-auditable from the cached result tables: the bias showed up most clearly in the shuffle null. Under mixed McFarland-literal weights, the real fixRSVP shuffle-null effect was negative, around -0.020. Under consistent pair-count weighting, it was essentially zero, around -0.001. The bias is additive in origin: random per-cell onset transients can inflate the close-pair off-diagonal term, whereas a pure multiplicative gain envelope is weighting-invariant.</w:t>
      </w:r>
    </w:p>
    <w:p>
      <w:pPr>
        <w:spacing w:after="140" w:line="283" w:lineRule="auto"/>
        <w:jc w:val="both"/>
      </w:pPr>
      <w:r>
        <w:rPr>
          <w:rFonts w:ascii="Times New Roman" w:hAnsi="Times New Roman"/>
          <w:b/>
          <w:sz w:val="22"/>
        </w:rPr>
        <w:t xml:space="preserve">Missing pieces / guardrails. </w:t>
      </w:r>
      <w:r>
        <w:rPr>
          <w:rFonts w:ascii="Times New Roman" w:hAnsi="Times New Roman"/>
          <w:sz w:val="22"/>
        </w:rPr>
        <w:t>Extension 1 is already integrated conceptually and should remain part of the production estimator. The exact example values above should stay marked as prior-analysis context until a current exported table is attached. Whenever older outputs used mixed weighting, their cross-cell covariance and corrected noise-correlation values should be treated as pre-fix.</w:t>
      </w:r>
    </w:p>
    <w:p>
      <w:pPr>
        <w:pStyle w:val="Heading2"/>
      </w:pPr>
      <w:r>
        <w:t>1.2 Eye-position-distribution matching</w:t>
      </w:r>
    </w:p>
    <w:p>
      <w:pPr>
        <w:spacing w:after="140" w:line="283" w:lineRule="auto"/>
        <w:jc w:val="both"/>
      </w:pPr>
      <w:r>
        <w:rPr>
          <w:rFonts w:ascii="Times New Roman" w:hAnsi="Times New Roman"/>
          <w:b/>
          <w:sz w:val="22"/>
        </w:rPr>
        <w:t xml:space="preserve">Motivation. </w:t>
      </w:r>
      <w:r>
        <w:rPr>
          <w:rFonts w:ascii="Times New Roman" w:hAnsi="Times New Roman"/>
          <w:sz w:val="22"/>
        </w:rPr>
        <w:t>Close pairs are not drawn from the animal's viewing distribution p(e). They are drawn approximately from p(e)^2, because two independent trials must both land at the same eye position. For a non-homogeneous stimulus, rate moments over p(e) and p(e)^2 are not interchangeable.</w:t>
      </w:r>
    </w:p>
    <w:p>
      <w:pPr>
        <w:spacing w:after="140" w:line="283" w:lineRule="auto"/>
        <w:jc w:val="both"/>
      </w:pPr>
      <w:r>
        <w:rPr>
          <w:rFonts w:ascii="Times New Roman" w:hAnsi="Times New Roman"/>
          <w:b/>
          <w:sz w:val="22"/>
        </w:rPr>
        <w:t xml:space="preserve">Method. </w:t>
      </w:r>
      <w:r>
        <w:rPr>
          <w:rFonts w:ascii="Times New Roman" w:hAnsi="Times New Roman"/>
          <w:sz w:val="22"/>
        </w:rPr>
        <w:t>The estimator treats the target eye-position distribution as an explicit parameter. Direction 1 targets the actual viewing distribution p(e) and uses 1/p(e) weights for close-pair second moments. Direction 2 targets the central close-pair distribution p(e)^2 and uses bounded weights. In the multi-bin production setting, each eye-trajectory window is reduced to a geometric median, the whole trajectory still defines the close-pair filter, and a single KDE over representative points supplies the importance weights.</w:t>
      </w:r>
    </w:p>
    <w:p>
      <w:pPr>
        <w:spacing w:after="140" w:line="283" w:lineRule="auto"/>
        <w:jc w:val="both"/>
      </w:pPr>
      <w:r>
        <w:rPr>
          <w:rFonts w:ascii="Times New Roman" w:hAnsi="Times New Roman"/>
          <w:b/>
          <w:sz w:val="22"/>
        </w:rPr>
        <w:t xml:space="preserve">Current finding. </w:t>
      </w:r>
      <w:r>
        <w:rPr>
          <w:rFonts w:ascii="Times New Roman" w:hAnsi="Times New Roman"/>
          <w:sz w:val="22"/>
        </w:rPr>
        <w:t>Prior-analysis note, not currently repo-auditable from the cached result tables: on real fixRSVP recordings, the matched full target left the main per-cell quantities stable. The population median 1-alpha changes by about 0.02 and the FEM-corrected Fano factor remains sub-Poisson, shifting from about 0.943 to 0.954. The important movement is in corrected noise correlation. The naive close-pair estimator over-subtracts shared rate variance and drives the corrected correlation nearly to zero; matching to the actual viewing distribution restores a positive residual mean Fisher-z of roughly 0.01 to 0.02 at short windows.</w:t>
      </w:r>
    </w:p>
    <w:p>
      <w:pPr>
        <w:spacing w:after="140" w:line="283" w:lineRule="auto"/>
        <w:jc w:val="both"/>
      </w:pPr>
      <w:r>
        <w:rPr>
          <w:rFonts w:ascii="Times New Roman" w:hAnsi="Times New Roman"/>
          <w:b/>
          <w:sz w:val="22"/>
        </w:rPr>
        <w:t xml:space="preserve">Missing pieces / guardrails. </w:t>
      </w:r>
      <w:r>
        <w:rPr>
          <w:rFonts w:ascii="Times New Roman" w:hAnsi="Times New Roman"/>
          <w:sz w:val="22"/>
        </w:rPr>
        <w:t>Report Direction 1 as the conceptual target because it describes the animal's actual viewing distribution. Before using the exact 1-alpha, Fano, Fisher-z, or shuffle-null values as manuscript numbers, regenerate or attach a current repo-auditable estimator table. Use Direction 2 as a stable central-target cross-check and as a fixation-scale spatial-structure diagnostic, not as the main biological value.</w:t>
      </w:r>
    </w:p>
    <w:p>
      <w:pPr>
        <w:pStyle w:val="Heading1"/>
      </w:pPr>
      <w:r>
        <w:t>2. Three-Model Active-Sensing Scaffold</w:t>
      </w:r>
    </w:p>
    <w:p>
      <w:pPr>
        <w:spacing w:after="160" w:line="288" w:lineRule="auto"/>
        <w:jc w:val="both"/>
      </w:pPr>
      <w:r>
        <w:rPr>
          <w:rFonts w:ascii="Times New Roman" w:hAnsi="Times New Roman"/>
          <w:sz w:val="22"/>
        </w:rPr>
        <w:t>The active-sensing branch is clearest when the analyses are treated as a ladder rather than as interchangeable versions of the same model. The aggregate model asks whether FEM-like motion distributions help at all. The local model asks whether the actual image-specific trajectory matters beyond the marginal trace distribution. The joint observer asks whether the resulting movie is usable when eye position is latent.</w:t>
      </w:r>
    </w:p>
    <w:tbl>
      <w:tblPr>
        <w:tblW w:type="dxa" w:w="9360"/>
        <w:jc w:val="center"/>
        <w:tblLook w:firstColumn="1" w:firstRow="1" w:lastColumn="0" w:lastRow="0" w:noHBand="0" w:noVBand="1" w:val="04A0"/>
        <w:tblBorders>
          <w:top w:val="single" w:sz="4" w:space="0" w:color="E3E6EA"/>
          <w:left w:val="single" w:sz="4" w:space="0" w:color="E3E6EA"/>
          <w:bottom w:val="single" w:sz="4" w:space="0" w:color="E3E6EA"/>
          <w:right w:val="single" w:sz="4" w:space="0" w:color="E3E6EA"/>
          <w:insideH w:val="single" w:sz="4" w:space="0" w:color="E3E6EA"/>
          <w:insideV w:val="single" w:sz="4" w:space="0" w:color="E3E6EA"/>
        </w:tblBorders>
      </w:tblPr>
      <w:tblGrid>
        <w:gridCol w:w="9360"/>
      </w:tblGrid>
      <w:tr>
        <w:tc>
          <w:tcPr>
            <w:tcW w:type="dxa" w:w="9360"/>
            <w:shd w:fill="F4F6F9"/>
            <w:tcMar>
              <w:top w:w="100" w:type="dxa"/>
              <w:start w:w="160" w:type="dxa"/>
              <w:bottom w:w="100" w:type="dxa"/>
              <w:end w:w="160" w:type="dxa"/>
            </w:tcMar>
          </w:tcPr>
          <w:p>
            <w:pPr>
              <w:spacing w:after="0" w:line="252" w:lineRule="auto"/>
            </w:pPr>
            <w:r>
              <w:rPr>
                <w:rFonts w:ascii="Consolas" w:hAnsi="Consolas"/>
                <w:sz w:val="18"/>
              </w:rPr>
              <w:t>Aggregate: U_agg = E_{I, tau ~ p_motion} D(f(I, tau), phi(I))</w:t>
              <w:br/>
              <w:t>Local:    U_local = E_I [D(f(I, tau_actual(I)), phi(I)) - E_{tau ~ matched} D(f(I, tau), phi(I))]</w:t>
              <w:br/>
              <w:t>Joint:    p(I, tau_1:T | y_1:T) proportional to p(y_1:T | I, tau_1:T) p(I) p(tau_1:T)</w:t>
              <w:br/>
              <w:t xml:space="preserve">          S_joint(i) = log sum_k exp(l(i,k) + log p(tau_k))</w:t>
            </w:r>
          </w:p>
        </w:tc>
      </w:tr>
    </w:tbl>
    <w:p>
      <w:pPr>
        <w:spacing w:after="40"/>
      </w:pPr>
    </w:p>
    <w:tbl>
      <w:tblPr>
        <w:tblW w:type="dxa" w:w="9360"/>
        <w:jc w:val="center"/>
        <w:tblLook w:firstColumn="1" w:firstRow="1" w:lastColumn="0" w:lastRow="0" w:noHBand="0" w:noVBand="1" w:val="04A0"/>
        <w:tblBorders>
          <w:top w:val="single" w:sz="4" w:space="0" w:color="E3E6EA"/>
          <w:left w:val="single" w:sz="4" w:space="0" w:color="E3E6EA"/>
          <w:bottom w:val="single" w:sz="4" w:space="0" w:color="E3E6EA"/>
          <w:right w:val="single" w:sz="4" w:space="0" w:color="E3E6EA"/>
          <w:insideH w:val="single" w:sz="4" w:space="0" w:color="E3E6EA"/>
          <w:insideV w:val="single" w:sz="4" w:space="0" w:color="E3E6EA"/>
        </w:tblBorders>
      </w:tblPr>
      <w:tblGrid>
        <w:gridCol w:w="9360"/>
      </w:tblGrid>
      <w:tr>
        <w:tc>
          <w:tcPr>
            <w:tcW w:type="dxa" w:w="9360"/>
            <w:shd w:fill="F4F6F9"/>
            <w:tcMar>
              <w:top w:w="120" w:type="dxa"/>
              <w:start w:w="160" w:type="dxa"/>
              <w:bottom w:w="120" w:type="dxa"/>
              <w:end w:w="160" w:type="dxa"/>
            </w:tcMar>
          </w:tcPr>
          <w:p>
            <w:pPr>
              <w:spacing w:after="80"/>
            </w:pPr>
            <w:r>
              <w:rPr>
                <w:rFonts w:ascii="Times New Roman" w:hAnsi="Times New Roman"/>
                <w:b/>
                <w:color w:val="1F4D78"/>
                <w:sz w:val="20"/>
              </w:rPr>
              <w:t>Plain-language progression</w:t>
            </w:r>
          </w:p>
          <w:p>
            <w:pPr>
              <w:spacing w:after="0" w:line="269" w:lineRule="auto"/>
            </w:pPr>
            <w:r>
              <w:rPr>
                <w:rFonts w:ascii="Times New Roman" w:hAnsi="Times New Roman"/>
                <w:sz w:val="20"/>
              </w:rPr>
              <w:t>Aggregate: real FEM-like statistics are useful on average. Local: the image-specific trajectory may carry extra structure. Joint: the resulting response movie can be read out even when eye position is uncertain.</w:t>
            </w:r>
          </w:p>
        </w:tc>
      </w:tr>
    </w:tbl>
    <w:p>
      <w:pPr>
        <w:spacing w:after="40"/>
      </w:pPr>
    </w:p>
    <w:p>
      <w:pPr>
        <w:pStyle w:val="Heading1"/>
      </w:pPr>
      <w:r>
        <w:t>3. Recorded and Twin Structural Analyses</w:t>
      </w:r>
    </w:p>
    <w:p>
      <w:pPr>
        <w:pStyle w:val="Heading2"/>
      </w:pPr>
      <w:r>
        <w:t>3.1 Recorded covariance decomposition</w:t>
      </w:r>
    </w:p>
    <w:p>
      <w:pPr>
        <w:spacing w:after="140" w:line="283" w:lineRule="auto"/>
        <w:jc w:val="both"/>
      </w:pPr>
      <w:r>
        <w:rPr>
          <w:rFonts w:ascii="Times New Roman" w:hAnsi="Times New Roman"/>
          <w:b/>
          <w:sz w:val="22"/>
        </w:rPr>
        <w:t xml:space="preserve">Motivation. </w:t>
      </w:r>
      <w:r>
        <w:rPr>
          <w:rFonts w:ascii="Times New Roman" w:hAnsi="Times New Roman"/>
          <w:sz w:val="22"/>
        </w:rPr>
        <w:t>The recorded-data anchor asks how much of classical trial-to-trial V1 variability is actually reafferent structure caused by retinal motion under fixation.</w:t>
      </w:r>
    </w:p>
    <w:p>
      <w:pPr>
        <w:spacing w:after="140" w:line="283" w:lineRule="auto"/>
        <w:jc w:val="both"/>
      </w:pPr>
      <w:r>
        <w:rPr>
          <w:rFonts w:ascii="Times New Roman" w:hAnsi="Times New Roman"/>
          <w:b/>
          <w:sz w:val="22"/>
        </w:rPr>
        <w:t xml:space="preserve">Method. </w:t>
      </w:r>
      <w:r>
        <w:rPr>
          <w:rFonts w:ascii="Times New Roman" w:hAnsi="Times New Roman"/>
          <w:sz w:val="22"/>
        </w:rPr>
        <w:t>Using the corrected cross-trial decomposition, we partition total covariance into PSTH, FEM-linked rate covariance, and residual/internal covariance. We report per-cell 1-alpha, Fano-factor changes, noise-correlation changes, low-dimensional spectra, and alignment between the FEM and stimulus-driven subspaces.</w:t>
      </w:r>
    </w:p>
    <w:p>
      <w:pPr>
        <w:spacing w:after="140" w:line="283" w:lineRule="auto"/>
        <w:jc w:val="both"/>
      </w:pPr>
      <w:r>
        <w:rPr>
          <w:rFonts w:ascii="Times New Roman" w:hAnsi="Times New Roman"/>
          <w:b/>
          <w:sz w:val="22"/>
        </w:rPr>
        <w:t xml:space="preserve">Current finding. </w:t>
      </w:r>
      <w:r>
        <w:rPr>
          <w:rFonts w:ascii="Times New Roman" w:hAnsi="Times New Roman"/>
          <w:sz w:val="22"/>
        </w:rPr>
        <w:t>FEMs account for a large fraction of rate variance and remove a major part of the classical residual covariance. Earlier figures showed corrected noise correlations collapsing toward zero; the matched eye-distribution estimator refines this to a still-positive residual rather than a literal zero.</w:t>
      </w:r>
    </w:p>
    <w:p>
      <w:pPr>
        <w:spacing w:after="140" w:line="283" w:lineRule="auto"/>
        <w:jc w:val="both"/>
      </w:pPr>
      <w:r>
        <w:rPr>
          <w:rFonts w:ascii="Times New Roman" w:hAnsi="Times New Roman"/>
          <w:b/>
          <w:sz w:val="22"/>
        </w:rPr>
        <w:t xml:space="preserve">Missing pieces / guardrails. </w:t>
      </w:r>
      <w:r>
        <w:rPr>
          <w:rFonts w:ascii="Times New Roman" w:hAnsi="Times New Roman"/>
          <w:sz w:val="22"/>
        </w:rPr>
        <w:t>Keep the conclusion as 'FEM correction removes a substantial reafferent component and changes the covariance geometry.' Avoid saying that it removes all noise correlation or all internally generated variability.</w:t>
      </w:r>
    </w:p>
    <w:p>
      <w:pPr>
        <w:pStyle w:val="Heading2"/>
      </w:pPr>
      <w:r>
        <w:t>3.2 Gaze-contingent V1 digital twin</w:t>
      </w:r>
    </w:p>
    <w:p>
      <w:pPr>
        <w:spacing w:after="140" w:line="283" w:lineRule="auto"/>
        <w:jc w:val="both"/>
      </w:pPr>
      <w:r>
        <w:rPr>
          <w:rFonts w:ascii="Times New Roman" w:hAnsi="Times New Roman"/>
          <w:b/>
          <w:sz w:val="22"/>
        </w:rPr>
        <w:t xml:space="preserve">Motivation. </w:t>
      </w:r>
      <w:r>
        <w:rPr>
          <w:rFonts w:ascii="Times New Roman" w:hAnsi="Times New Roman"/>
          <w:sz w:val="22"/>
        </w:rPr>
        <w:t>The twin provides a mechanistic bridge: if the model receives the moving retinal image, can it reproduce the amount and structure of FEM-linked neural variability without relying on a separate extraretinal eye-state signal?</w:t>
      </w:r>
    </w:p>
    <w:p>
      <w:pPr>
        <w:spacing w:after="140" w:line="283" w:lineRule="auto"/>
        <w:jc w:val="both"/>
      </w:pPr>
      <w:r>
        <w:rPr>
          <w:rFonts w:ascii="Times New Roman" w:hAnsi="Times New Roman"/>
          <w:b/>
          <w:sz w:val="22"/>
        </w:rPr>
        <w:t xml:space="preserve">Method. </w:t>
      </w:r>
      <w:r>
        <w:rPr>
          <w:rFonts w:ascii="Times New Roman" w:hAnsi="Times New Roman"/>
          <w:sz w:val="22"/>
        </w:rPr>
        <w:t>The fitted twin maps gaze-contingent retinal stimulus histories to recorded V1 responses. We compare twin-predicted PSTHs, single-trial predictions, per-cell FEM fraction, and extraretinal ablations in which behavior inputs are zeroed or shuffled.</w:t>
      </w:r>
    </w:p>
    <w:p>
      <w:pPr>
        <w:spacing w:after="140" w:line="283" w:lineRule="auto"/>
        <w:jc w:val="both"/>
      </w:pPr>
      <w:r>
        <w:rPr>
          <w:rFonts w:ascii="Times New Roman" w:hAnsi="Times New Roman"/>
          <w:b/>
          <w:sz w:val="22"/>
        </w:rPr>
        <w:t xml:space="preserve">Current finding. </w:t>
      </w:r>
      <w:r>
        <w:rPr>
          <w:rFonts w:ascii="Times New Roman" w:hAnsi="Times New Roman"/>
          <w:sz w:val="22"/>
        </w:rPr>
        <w:t>The twin captures the time-locked mean response and much of the eye-movement-driven rate variance. Its gain over a PSTH baseline is concentrated in cells with stronger empirical FEM modulation, while zeroing the extraretinal route changes predictions only minimally.</w:t>
      </w:r>
    </w:p>
    <w:p>
      <w:pPr>
        <w:spacing w:after="140" w:line="283" w:lineRule="auto"/>
        <w:jc w:val="both"/>
      </w:pPr>
      <w:r>
        <w:rPr>
          <w:rFonts w:ascii="Times New Roman" w:hAnsi="Times New Roman"/>
          <w:b/>
          <w:sz w:val="22"/>
        </w:rPr>
        <w:t xml:space="preserve">Missing pieces / guardrails. </w:t>
      </w:r>
      <w:r>
        <w:rPr>
          <w:rFonts w:ascii="Times New Roman" w:hAnsi="Times New Roman"/>
          <w:sz w:val="22"/>
        </w:rPr>
        <w:t>This supports a feedforward retinal-input route for much of the FEM-linked variability, but it does not by itself prove that every recorded single-trial displacement can be decoded or that behavior is optimized.</w:t>
      </w:r>
    </w:p>
    <w:p>
      <w:pPr>
        <w:pStyle w:val="Heading2"/>
      </w:pPr>
      <w:r>
        <w:t>3.3 Compact retinal-translation geometry</w:t>
      </w:r>
    </w:p>
    <w:p>
      <w:pPr>
        <w:spacing w:after="140" w:line="283" w:lineRule="auto"/>
        <w:jc w:val="both"/>
      </w:pPr>
      <w:r>
        <w:rPr>
          <w:rFonts w:ascii="Times New Roman" w:hAnsi="Times New Roman"/>
          <w:b/>
          <w:sz w:val="22"/>
        </w:rPr>
        <w:t xml:space="preserve">Motivation. </w:t>
      </w:r>
      <w:r>
        <w:rPr>
          <w:rFonts w:ascii="Times New Roman" w:hAnsi="Times New Roman"/>
          <w:sz w:val="22"/>
        </w:rPr>
        <w:t>The structural question is whether local retinal translations produce arbitrary image-specific response changes or whether those changes share a compact population geometry.</w:t>
      </w:r>
    </w:p>
    <w:p>
      <w:pPr>
        <w:spacing w:after="140" w:line="283" w:lineRule="auto"/>
        <w:jc w:val="both"/>
      </w:pPr>
      <w:r>
        <w:rPr>
          <w:rFonts w:ascii="Times New Roman" w:hAnsi="Times New Roman"/>
          <w:b/>
          <w:sz w:val="22"/>
        </w:rPr>
        <w:t xml:space="preserve">Method. </w:t>
      </w:r>
      <w:r>
        <w:rPr>
          <w:rFonts w:ascii="Times New Roman" w:hAnsi="Times New Roman"/>
          <w:sz w:val="22"/>
        </w:rPr>
        <w:t>For many natural-image histories, the twin response is finite-differenced under small horizontal and vertical retinal shifts. The resulting local translation tangents are pooled, compared to unit-shuffled controls, and evaluated under image-disjoint train/test bases. Compactness is summarized by participation ratio and held-out variance capture.</w:t>
      </w:r>
    </w:p>
    <w:p>
      <w:pPr>
        <w:spacing w:after="140" w:line="283" w:lineRule="auto"/>
        <w:jc w:val="both"/>
      </w:pPr>
      <w:r>
        <w:rPr>
          <w:rFonts w:ascii="Times New Roman" w:hAnsi="Times New Roman"/>
          <w:b/>
          <w:sz w:val="22"/>
        </w:rPr>
        <w:t xml:space="preserve">Current finding. </w:t>
      </w:r>
      <w:r>
        <w:rPr>
          <w:rFonts w:ascii="Times New Roman" w:hAnsi="Times New Roman"/>
          <w:sz w:val="22"/>
        </w:rPr>
        <w:t>At 0.25 arcmin, the observed participation ratio is about 9.04, far below the unit-shuffle null around 31. A k=10 image-disjoint basis captures roughly 0.525 held-out tangent variance versus a null around 0.122. This makes compact retinal-translation geometry the structural spine of the current Figure 4 story.</w:t>
      </w:r>
    </w:p>
    <w:p>
      <w:pPr>
        <w:spacing w:after="140" w:line="283" w:lineRule="auto"/>
        <w:jc w:val="both"/>
      </w:pPr>
      <w:r>
        <w:rPr>
          <w:rFonts w:ascii="Times New Roman" w:hAnsi="Times New Roman"/>
          <w:b/>
          <w:sz w:val="22"/>
        </w:rPr>
        <w:t xml:space="preserve">Missing pieces / guardrails. </w:t>
      </w:r>
      <w:r>
        <w:rPr>
          <w:rFonts w:ascii="Times New Roman" w:hAnsi="Times New Roman"/>
          <w:sz w:val="22"/>
        </w:rPr>
        <w:t>Do not describe this as a universal signed x/y coordinate map. The current cache contains cardinal translations and supports compact structure, generalization, and displacement scaling more strongly than full coordinate recovery or diagonal composition.</w:t>
      </w:r>
    </w:p>
    <w:p>
      <w:pPr>
        <w:pStyle w:val="Heading2"/>
      </w:pPr>
      <w:r>
        <w:t>3.4 Matched twin covariance closure</w:t>
      </w:r>
    </w:p>
    <w:p>
      <w:pPr>
        <w:spacing w:after="140" w:line="283" w:lineRule="auto"/>
        <w:jc w:val="both"/>
      </w:pPr>
      <w:r>
        <w:rPr>
          <w:rFonts w:ascii="Times New Roman" w:hAnsi="Times New Roman"/>
          <w:b/>
          <w:sz w:val="22"/>
        </w:rPr>
        <w:t xml:space="preserve">Motivation. </w:t>
      </w:r>
      <w:r>
        <w:rPr>
          <w:rFonts w:ascii="Times New Roman" w:hAnsi="Times New Roman"/>
          <w:sz w:val="22"/>
        </w:rPr>
        <w:t>The promoted recorded bridge asks whether fitted-twin retinal-translation sources predict the FEM-linked covariance observed in matched recorded/twin unit space.</w:t>
      </w:r>
    </w:p>
    <w:p>
      <w:pPr>
        <w:spacing w:after="140" w:line="283" w:lineRule="auto"/>
        <w:jc w:val="both"/>
      </w:pPr>
      <w:r>
        <w:rPr>
          <w:rFonts w:ascii="Times New Roman" w:hAnsi="Times New Roman"/>
          <w:b/>
          <w:sz w:val="22"/>
        </w:rPr>
        <w:t xml:space="preserve">Method. </w:t>
      </w:r>
      <w:r>
        <w:rPr>
          <w:rFonts w:ascii="Times New Roman" w:hAnsi="Times New Roman"/>
          <w:sz w:val="22"/>
        </w:rPr>
        <w:t>The analysis builds finite-difference translation sources from the fitted twin, projects them into matched unit space, and compares covariance capture against unit-shuffle, random-subspace, and RF/readout-preserving nulls. Projection controls remove global rate and top target-PC structure.</w:t>
      </w:r>
    </w:p>
    <w:p>
      <w:pPr>
        <w:spacing w:after="140" w:line="283" w:lineRule="auto"/>
        <w:jc w:val="both"/>
      </w:pPr>
      <w:r>
        <w:rPr>
          <w:rFonts w:ascii="Times New Roman" w:hAnsi="Times New Roman"/>
          <w:b/>
          <w:sz w:val="22"/>
        </w:rPr>
        <w:t xml:space="preserve">Current finding. </w:t>
      </w:r>
      <w:r>
        <w:rPr>
          <w:rFonts w:ascii="Times New Roman" w:hAnsi="Times New Roman"/>
          <w:sz w:val="22"/>
        </w:rPr>
        <w:t>The 24-session finite-difference sweep is consistently positive. In the current promoted global_rate+target_pc1, psd, k=2 row, the full-source effect over unit shuffle is +0.1724 with CI [0.1415, 0.2061], positive in 24/24 sessions. The compact-restricted row is +0.1740 with CI [0.1431, 0.2078], also positive in 24/24 sessions. Compact-restricted sources retain the closure, with no detectable closure cost relative to the full source under the current non-nested estimator comparison.</w:t>
      </w:r>
    </w:p>
    <w:p>
      <w:pPr>
        <w:spacing w:after="140" w:line="283" w:lineRule="auto"/>
        <w:jc w:val="both"/>
      </w:pPr>
      <w:r>
        <w:rPr>
          <w:rFonts w:ascii="Times New Roman" w:hAnsi="Times New Roman"/>
          <w:b/>
          <w:sz w:val="22"/>
        </w:rPr>
        <w:t xml:space="preserve">Missing pieces / guardrails. </w:t>
      </w:r>
      <w:r>
        <w:rPr>
          <w:rFonts w:ascii="Times New Roman" w:hAnsi="Times New Roman"/>
          <w:sz w:val="22"/>
        </w:rPr>
        <w:t>Phrase this as reliable prediction of a component of recorded Sigma_FEM, not full reproduction of recorded covariance. Small compact/full ordering differences should be treated as estimator caveats, not biological effects.</w:t>
      </w:r>
    </w:p>
    <w:p>
      <w:pPr>
        <w:pStyle w:val="Heading2"/>
      </w:pPr>
      <w:r>
        <w:t>3.5 Direct recorded derivative / twin tangent alignment</w:t>
      </w:r>
    </w:p>
    <w:p>
      <w:pPr>
        <w:spacing w:after="140" w:line="283" w:lineRule="auto"/>
        <w:jc w:val="both"/>
      </w:pPr>
      <w:r>
        <w:rPr>
          <w:rFonts w:ascii="Times New Roman" w:hAnsi="Times New Roman"/>
          <w:b/>
          <w:sz w:val="22"/>
        </w:rPr>
        <w:t xml:space="preserve">Motivation. </w:t>
      </w:r>
      <w:r>
        <w:rPr>
          <w:rFonts w:ascii="Times New Roman" w:hAnsi="Times New Roman"/>
          <w:sz w:val="22"/>
        </w:rPr>
        <w:t>This supportive branch asks a more direct but noisier version of covariance closure: do derivatives estimated from recorded V1 repeats lie in the compact fitted-twin tangent subspace?</w:t>
      </w:r>
    </w:p>
    <w:p>
      <w:pPr>
        <w:spacing w:after="140" w:line="283" w:lineRule="auto"/>
        <w:jc w:val="both"/>
      </w:pPr>
      <w:r>
        <w:rPr>
          <w:rFonts w:ascii="Times New Roman" w:hAnsi="Times New Roman"/>
          <w:b/>
          <w:sz w:val="22"/>
        </w:rPr>
        <w:t xml:space="preserve">Method. </w:t>
      </w:r>
      <w:r>
        <w:rPr>
          <w:rFonts w:ascii="Times New Roman" w:hAnsi="Times New Roman"/>
          <w:sz w:val="22"/>
        </w:rPr>
        <w:t>The analysis estimates eye-position sensitivity from recorded repeats and measures capture by compact twin tangent bases under RF/readout, unit-shuffle, random-subspace, and projection controls.</w:t>
      </w:r>
    </w:p>
    <w:p>
      <w:pPr>
        <w:spacing w:after="140" w:line="283" w:lineRule="auto"/>
        <w:jc w:val="both"/>
      </w:pPr>
      <w:r>
        <w:rPr>
          <w:rFonts w:ascii="Times New Roman" w:hAnsi="Times New Roman"/>
          <w:b/>
          <w:sz w:val="22"/>
        </w:rPr>
        <w:t xml:space="preserve">Current finding. </w:t>
      </w:r>
      <w:r>
        <w:rPr>
          <w:rFonts w:ascii="Times New Roman" w:hAnsi="Times New Roman"/>
          <w:sz w:val="22"/>
        </w:rPr>
        <w:t>The conservative Tier 1 condition survived in 13/13 eligible sessions: target_variant=psd, projection_control=global_rate+target_pc1, reliability-qualified context, k=10. Capture mean was about 0.386, with effect over RF/readout null about +0.210 and CI [0.178, 0.246].</w:t>
      </w:r>
    </w:p>
    <w:p>
      <w:pPr>
        <w:spacing w:after="140" w:line="283" w:lineRule="auto"/>
        <w:jc w:val="both"/>
      </w:pPr>
      <w:r>
        <w:rPr>
          <w:rFonts w:ascii="Times New Roman" w:hAnsi="Times New Roman"/>
          <w:b/>
          <w:sz w:val="22"/>
        </w:rPr>
        <w:t xml:space="preserve">Missing pieces / guardrails. </w:t>
      </w:r>
      <w:r>
        <w:rPr>
          <w:rFonts w:ascii="Times New Roman" w:hAnsi="Times New Roman"/>
          <w:sz w:val="22"/>
        </w:rPr>
        <w:t>Keep this as compact-subspace enrichment. Do not revive a strong signed horizontal/vertical derivative-matching claim.</w:t>
      </w:r>
    </w:p>
    <w:p>
      <w:pPr>
        <w:pStyle w:val="Heading1"/>
      </w:pPr>
      <w:r>
        <w:t>4. Active-Sensing Functional Analyses</w:t>
      </w:r>
    </w:p>
    <w:p>
      <w:pPr>
        <w:pStyle w:val="Heading2"/>
      </w:pPr>
      <w:r>
        <w:t>4.1 Aggregate FEM-distribution model</w:t>
      </w:r>
    </w:p>
    <w:p>
      <w:pPr>
        <w:spacing w:after="140" w:line="283" w:lineRule="auto"/>
        <w:jc w:val="both"/>
      </w:pPr>
      <w:r>
        <w:rPr>
          <w:rFonts w:ascii="Times New Roman" w:hAnsi="Times New Roman"/>
          <w:b/>
          <w:sz w:val="22"/>
        </w:rPr>
        <w:t xml:space="preserve">Motivation. </w:t>
      </w:r>
      <w:r>
        <w:rPr>
          <w:rFonts w:ascii="Times New Roman" w:hAnsi="Times New Roman"/>
          <w:sz w:val="22"/>
        </w:rPr>
        <w:t>This is the broadest and strongest BackImage active-sensing model. It asks whether empirical FEM-like motion distributions improve the V1-twin representation of natural-image features, relative to static input and matched synthetic motion families.</w:t>
      </w:r>
    </w:p>
    <w:p>
      <w:pPr>
        <w:spacing w:after="140" w:line="283" w:lineRule="auto"/>
        <w:jc w:val="both"/>
      </w:pPr>
      <w:r>
        <w:rPr>
          <w:rFonts w:ascii="Times New Roman" w:hAnsi="Times New Roman"/>
          <w:b/>
          <w:sz w:val="22"/>
        </w:rPr>
        <w:t xml:space="preserve">Method. </w:t>
      </w:r>
      <w:r>
        <w:rPr>
          <w:rFonts w:ascii="Times New Roman" w:hAnsi="Times New Roman"/>
          <w:sz w:val="22"/>
        </w:rPr>
        <w:t>The cleaned aggregate run used the canonical 756-unit twin, 256 images, K=4 trace samples, grouped-by-image cross-validation, drift-only common-unclipped trace banks, common source trace reuse across scales, empirical/OU/Brownian/rotated families, motion scales from 0.25x to 2x, and Gabor/pyramid local-field latents at k=4 and k=8. The primary result is the static-plus-motion incremental feature-decoding gain, especially under temporal-PCA summaries.</w:t>
      </w:r>
    </w:p>
    <w:p>
      <w:pPr>
        <w:spacing w:after="140" w:line="283" w:lineRule="auto"/>
        <w:jc w:val="both"/>
      </w:pPr>
      <w:r>
        <w:rPr>
          <w:rFonts w:ascii="Times New Roman" w:hAnsi="Times New Roman"/>
          <w:b/>
          <w:sz w:val="22"/>
        </w:rPr>
        <w:t xml:space="preserve">Current finding. </w:t>
      </w:r>
      <w:r>
        <w:rPr>
          <w:rFonts w:ascii="Times New Roman" w:hAnsi="Times New Roman"/>
          <w:sz w:val="22"/>
        </w:rPr>
        <w:t>Empirical temporal-PCA motion adds feature-decodable signal beyond the full static response. For Gabor k=4, empirical gains were +14.31, +13.04, +9.10, +9.98, and +9.07 across 0.25x to 2x, all with positive CIs. Pyramid k=8 showed smaller but consistent gains of about +5.20 to +4.21. Empirical also beat OU robustly across scale; Gabor k=4 empirical-minus-OU remained around +17 to +21.</w:t>
      </w:r>
    </w:p>
    <w:p>
      <w:pPr>
        <w:spacing w:after="140" w:line="283" w:lineRule="auto"/>
        <w:jc w:val="both"/>
      </w:pPr>
      <w:r>
        <w:rPr>
          <w:rFonts w:ascii="Times New Roman" w:hAnsi="Times New Roman"/>
          <w:b/>
          <w:sz w:val="22"/>
        </w:rPr>
        <w:t xml:space="preserve">Missing pieces / guardrails. </w:t>
      </w:r>
      <w:r>
        <w:rPr>
          <w:rFonts w:ascii="Times New Roman" w:hAnsi="Times New Roman"/>
          <w:sz w:val="22"/>
        </w:rPr>
        <w:t>This earns a distributional claim: empirical drift statistics are useful for V1-twin feature representation. It does not prove exact observed trajectories are optimal. Brownian and rotated controls become competitive at larger scales, so strongest specificity is at 0.25x to 0.5x and the high-scale wording must stay guarded.</w:t>
      </w:r>
    </w:p>
    <w:p>
      <w:pPr>
        <w:pStyle w:val="Heading2"/>
      </w:pPr>
      <w:r>
        <w:t>4.2 Local image-trace pairing model</w:t>
      </w:r>
    </w:p>
    <w:p>
      <w:pPr>
        <w:spacing w:after="140" w:line="283" w:lineRule="auto"/>
        <w:jc w:val="both"/>
      </w:pPr>
      <w:r>
        <w:rPr>
          <w:rFonts w:ascii="Times New Roman" w:hAnsi="Times New Roman"/>
          <w:b/>
          <w:sz w:val="22"/>
        </w:rPr>
        <w:t xml:space="preserve">Motivation. </w:t>
      </w:r>
      <w:r>
        <w:rPr>
          <w:rFonts w:ascii="Times New Roman" w:hAnsi="Times New Roman"/>
          <w:sz w:val="22"/>
        </w:rPr>
        <w:t>The aggregate result could still be explained by a useful global motion distribution. The local model asks whether the animal's actual trajectory for a particular image patch adds structure beyond matched empirical traces assigned to the wrong image.</w:t>
      </w:r>
    </w:p>
    <w:p>
      <w:pPr>
        <w:spacing w:after="140" w:line="283" w:lineRule="auto"/>
        <w:jc w:val="both"/>
      </w:pPr>
      <w:r>
        <w:rPr>
          <w:rFonts w:ascii="Times New Roman" w:hAnsi="Times New Roman"/>
          <w:b/>
          <w:sz w:val="22"/>
        </w:rPr>
        <w:t xml:space="preserve">Method. </w:t>
      </w:r>
      <w:r>
        <w:rPr>
          <w:rFonts w:ascii="Times New Roman" w:hAnsi="Times New Roman"/>
          <w:sz w:val="22"/>
        </w:rPr>
        <w:t>The clean local-pairing runs use a fixed 128-image manifest, the full 3013-row trace pool, sampled matched-unpaired controls, corrected Gabor (128, 4608) and pyramid (128, 3072) local-feature geometry, zero same-trial matches, zero clipping, and grouped feature decoding. The claim-relevant file is the incremental gain contrast, not the raw decode contrast.</w:t>
      </w:r>
    </w:p>
    <w:p>
      <w:pPr>
        <w:spacing w:after="140" w:line="283" w:lineRule="auto"/>
        <w:jc w:val="both"/>
      </w:pPr>
      <w:r>
        <w:rPr>
          <w:rFonts w:ascii="Times New Roman" w:hAnsi="Times New Roman"/>
          <w:b/>
          <w:sz w:val="22"/>
        </w:rPr>
        <w:t xml:space="preserve">Current finding. </w:t>
      </w:r>
      <w:r>
        <w:rPr>
          <w:rFonts w:ascii="Times New Roman" w:hAnsi="Times New Roman"/>
          <w:sz w:val="22"/>
        </w:rPr>
        <w:t>Only the delta_mean rows currently support the positive local-pairing claim. In that scope, actual paired traces beat matched empirical trace swaps in both feature families. Examples include Gabor k=4 at 0.25x: +9.95, CI [+0.73, +20.62]; Gabor k=4 at 1x: +8.27; pyramid k=8 at 0.25x: +6.09; and pyramid k=8 at 1x: +3.79.</w:t>
      </w:r>
    </w:p>
    <w:p>
      <w:pPr>
        <w:spacing w:after="140" w:line="283" w:lineRule="auto"/>
        <w:jc w:val="both"/>
      </w:pPr>
      <w:r>
        <w:rPr>
          <w:rFonts w:ascii="Times New Roman" w:hAnsi="Times New Roman"/>
          <w:b/>
          <w:sz w:val="22"/>
        </w:rPr>
        <w:t xml:space="preserve">Missing pieces / guardrails. </w:t>
      </w:r>
      <w:r>
        <w:rPr>
          <w:rFonts w:ascii="Times New Roman" w:hAnsi="Times New Roman"/>
          <w:sz w:val="22"/>
        </w:rPr>
        <w:t>This is local motion-delta evidence, probably supplementary for now. Temporal PCA/DCT summaries do not show a clean actual-pairing advantage, and actual traces do not yet clearly beat rotated actual traces. A main-figure claim would require survival against rotated actual, OU/Brownian, and edge-axis baselines.</w:t>
      </w:r>
    </w:p>
    <w:p>
      <w:pPr>
        <w:pStyle w:val="Heading2"/>
      </w:pPr>
      <w:r>
        <w:t>4.3 Joint eye-image observer</w:t>
      </w:r>
    </w:p>
    <w:p>
      <w:pPr>
        <w:spacing w:after="140" w:line="283" w:lineRule="auto"/>
        <w:jc w:val="both"/>
      </w:pPr>
      <w:r>
        <w:rPr>
          <w:rFonts w:ascii="Times New Roman" w:hAnsi="Times New Roman"/>
          <w:b/>
          <w:sz w:val="22"/>
        </w:rPr>
        <w:t xml:space="preserve">Motivation. </w:t>
      </w:r>
      <w:r>
        <w:rPr>
          <w:rFonts w:ascii="Times New Roman" w:hAnsi="Times New Roman"/>
          <w:sz w:val="22"/>
        </w:rPr>
        <w:t>The aggregate and local analyses can be accused of giving the decoder too much information about eye position. The joint observer asks whether image identity can be recovered when eye position is latent and must be marginalized or inferred jointly.</w:t>
      </w:r>
    </w:p>
    <w:p>
      <w:pPr>
        <w:spacing w:after="140" w:line="283" w:lineRule="auto"/>
        <w:jc w:val="both"/>
      </w:pPr>
      <w:r>
        <w:rPr>
          <w:rFonts w:ascii="Times New Roman" w:hAnsi="Times New Roman"/>
          <w:b/>
          <w:sz w:val="22"/>
        </w:rPr>
        <w:t xml:space="preserve">Method. </w:t>
      </w:r>
      <w:r>
        <w:rPr>
          <w:rFonts w:ascii="Times New Roman" w:hAnsi="Times New Roman"/>
          <w:sz w:val="22"/>
        </w:rPr>
        <w:t>The current exact-cache observer scores candidate image patches and candidate trajectories with full cached V1-twin responses. It uses an expected Poisson count likelihood over a finite candidate table. Scores compare known-eye, zero-eye, and joint-eye conditions, with matched-static distractors and empirical or OU trajectory priors. Posterior concentration is summarized by N_eff/K.</w:t>
      </w:r>
    </w:p>
    <w:p>
      <w:pPr>
        <w:spacing w:after="140" w:line="283" w:lineRule="auto"/>
        <w:jc w:val="both"/>
      </w:pPr>
      <w:r>
        <w:rPr>
          <w:rFonts w:ascii="Times New Roman" w:hAnsi="Times New Roman"/>
          <w:b/>
          <w:sz w:val="22"/>
        </w:rPr>
        <w:t xml:space="preserve">Current finding. </w:t>
      </w:r>
      <w:r>
        <w:rPr>
          <w:rFonts w:ascii="Times New Roman" w:hAnsi="Times New Roman"/>
          <w:sz w:val="22"/>
        </w:rPr>
        <w:t>Under the matched-static control at 1.0x, known-eye accuracy was 1.000, zero-eye accuracy was 0.328, joint-eye with empirical prior was 0.766, and joint-eye with OU prior was 0.797. The joint observer recovered roughly 65-70% of the known-minus-zero gap. Median N_eff/K was about 0.364 for empirical and 0.400 for OU, indicating a nonuniform trajectory posterior rather than blind averaging.</w:t>
      </w:r>
    </w:p>
    <w:p>
      <w:pPr>
        <w:spacing w:after="140" w:line="283" w:lineRule="auto"/>
        <w:jc w:val="both"/>
      </w:pPr>
      <w:r>
        <w:rPr>
          <w:rFonts w:ascii="Times New Roman" w:hAnsi="Times New Roman"/>
          <w:b/>
          <w:sz w:val="22"/>
        </w:rPr>
        <w:t xml:space="preserve">Missing pieces / guardrails. </w:t>
      </w:r>
      <w:r>
        <w:rPr>
          <w:rFonts w:ascii="Times New Roman" w:hAnsi="Times New Roman"/>
          <w:sz w:val="22"/>
        </w:rPr>
        <w:t>This is a strong conceptual result, but it is finite-candidate likelihood accuracy, not literal mutual information. It does not show empirical priors are uniquely optimal, because OU is competitive, and it is not yet a compact-only mechanism test.</w:t>
      </w:r>
    </w:p>
    <w:p>
      <w:pPr>
        <w:pStyle w:val="Heading2"/>
      </w:pPr>
      <w:r>
        <w:t>4.4 Image-dependent useful motion axes and behavior alignment</w:t>
      </w:r>
    </w:p>
    <w:p>
      <w:pPr>
        <w:spacing w:after="140" w:line="283" w:lineRule="auto"/>
        <w:jc w:val="both"/>
      </w:pPr>
      <w:r>
        <w:rPr>
          <w:rFonts w:ascii="Times New Roman" w:hAnsi="Times New Roman"/>
          <w:b/>
          <w:sz w:val="22"/>
        </w:rPr>
        <w:t xml:space="preserve">Motivation. </w:t>
      </w:r>
      <w:r>
        <w:rPr>
          <w:rFonts w:ascii="Times New Roman" w:hAnsi="Times New Roman"/>
          <w:sz w:val="22"/>
        </w:rPr>
        <w:t>Once motion helps, the next question is which motion directions help for which image patches and objectives. The branch also supplies the behavioral constraint: measured drift should be explained relative to raw local image geometry.</w:t>
      </w:r>
    </w:p>
    <w:p>
      <w:pPr>
        <w:spacing w:after="140" w:line="283" w:lineRule="auto"/>
        <w:jc w:val="both"/>
      </w:pPr>
      <w:r>
        <w:rPr>
          <w:rFonts w:ascii="Times New Roman" w:hAnsi="Times New Roman"/>
          <w:b/>
          <w:sz w:val="22"/>
        </w:rPr>
        <w:t xml:space="preserve">Method. </w:t>
      </w:r>
      <w:r>
        <w:rPr>
          <w:rFonts w:ascii="Times New Roman" w:hAnsi="Times New Roman"/>
          <w:sz w:val="22"/>
        </w:rPr>
        <w:t>Analyses include raw edge-axis alignment of BackImage drift, edge-parallel versus edge-orthogonal preservation audits, axis-conditioned joint observers, and V1-twin objective screens. The current Panel E local edge behavior tables use 30 sessions and report all-window, reliable-axis, high-confidence, and metric-convention weighted summaries. Earlier corrected scaled runs also tracked coordinate-order fixes, 270 px full-image support margins, axis-only grids, candidate-axis nulls, predicted-axis shuffles, and session bootstraps.</w:t>
      </w:r>
    </w:p>
    <w:p>
      <w:pPr>
        <w:spacing w:after="140" w:line="283" w:lineRule="auto"/>
        <w:jc w:val="both"/>
      </w:pPr>
      <w:r>
        <w:rPr>
          <w:rFonts w:ascii="Times New Roman" w:hAnsi="Times New Roman"/>
          <w:b/>
          <w:sz w:val="22"/>
        </w:rPr>
        <w:t xml:space="preserve">Current finding. </w:t>
      </w:r>
      <w:r>
        <w:rPr>
          <w:rFonts w:ascii="Times New Roman" w:hAnsi="Times New Roman"/>
          <w:sz w:val="22"/>
        </w:rPr>
        <w:t>Measured BackImage drift aligns modestly with raw local edge geometry, with the reported strength depending on metric convention. Current Panel E summaries include all-windows session mean 0.1052, reliable-axes mean 0.1396, high-confidence mean 0.2690, and metric-convention weighted headline 0.1815 across 30 sessions. Edge-parallel preservation is also positive: pixel advantage about +300.5, CI [+172.8, +408.8], and twin response metrics agree in sign. Axis-conditioned observers rescue image identity above zero-eye, but the parallel versus orthogonal preference is modest and candidate-set dependent.</w:t>
      </w:r>
    </w:p>
    <w:p>
      <w:pPr>
        <w:spacing w:after="140" w:line="283" w:lineRule="auto"/>
        <w:jc w:val="both"/>
      </w:pPr>
      <w:r>
        <w:rPr>
          <w:rFonts w:ascii="Times New Roman" w:hAnsi="Times New Roman"/>
          <w:b/>
          <w:sz w:val="22"/>
        </w:rPr>
        <w:t xml:space="preserve">Missing pieces / guardrails. </w:t>
      </w:r>
      <w:r>
        <w:rPr>
          <w:rFonts w:ascii="Times New Roman" w:hAnsi="Times New Roman"/>
          <w:sz w:val="22"/>
        </w:rPr>
        <w:t>Raw edge geometry is now the baseline any refined model must beat. Current pose-aware, pose-blind, and Pareto V1-twin objectives do not outperform raw edge orientation as behavior predictors. Claim measured FEMs align with image geometry; do not claim animals optimize the tested response objective.</w:t>
      </w:r>
    </w:p>
    <w:p>
      <w:pPr>
        <w:pStyle w:val="Heading2"/>
      </w:pPr>
      <w:r>
        <w:t>4.5 Natural-image movie information / Figure 5</w:t>
      </w:r>
    </w:p>
    <w:p>
      <w:pPr>
        <w:spacing w:after="140" w:line="283" w:lineRule="auto"/>
        <w:jc w:val="both"/>
      </w:pPr>
      <w:r>
        <w:rPr>
          <w:rFonts w:ascii="Times New Roman" w:hAnsi="Times New Roman"/>
          <w:b/>
          <w:sz w:val="22"/>
        </w:rPr>
        <w:t xml:space="preserve">Motivation. </w:t>
      </w:r>
      <w:r>
        <w:rPr>
          <w:rFonts w:ascii="Times New Roman" w:hAnsi="Times New Roman"/>
          <w:sz w:val="22"/>
        </w:rPr>
        <w:t>This promoted but guarded branch reframed active sensing around natural-image retinal movies after the older E-optotype path became too easy to overstate.</w:t>
      </w:r>
    </w:p>
    <w:p>
      <w:pPr>
        <w:spacing w:after="140" w:line="283" w:lineRule="auto"/>
        <w:jc w:val="both"/>
      </w:pPr>
      <w:r>
        <w:rPr>
          <w:rFonts w:ascii="Times New Roman" w:hAnsi="Times New Roman"/>
          <w:b/>
          <w:sz w:val="22"/>
        </w:rPr>
        <w:t xml:space="preserve">Method. </w:t>
      </w:r>
      <w:r>
        <w:rPr>
          <w:rFonts w:ascii="Times New Roman" w:hAnsi="Times New Roman"/>
          <w:sz w:val="22"/>
        </w:rPr>
        <w:t>Using the production twin-information pipeline, each real gaze-contingent retinal movie was compared with a stabilized counterfactual and matched-motion controls. The primary endpoint was cumulative spatial information per expected spike, with raw information, spike count, Fisher, and retinal-transform QC as audits.</w:t>
      </w:r>
    </w:p>
    <w:p>
      <w:pPr>
        <w:spacing w:after="140" w:line="283" w:lineRule="auto"/>
        <w:jc w:val="both"/>
      </w:pPr>
      <w:r>
        <w:rPr>
          <w:rFonts w:ascii="Times New Roman" w:hAnsi="Times New Roman"/>
          <w:b/>
          <w:sz w:val="22"/>
        </w:rPr>
        <w:t xml:space="preserve">Current finding. </w:t>
      </w:r>
      <w:r>
        <w:rPr>
          <w:rFonts w:ascii="Times New Roman" w:hAnsi="Times New Roman"/>
          <w:sz w:val="22"/>
        </w:rPr>
        <w:t>Real FEM retinal motion improved final spatial information efficiency over stabilization by about +0.035 bits per expected spike, from 0.110 to 0.145, CI [0.026, 0.045]. The gain survived spike-count normalization and was largest for mid/high spatial-frequency image content.</w:t>
      </w:r>
    </w:p>
    <w:p>
      <w:pPr>
        <w:spacing w:after="140" w:line="283" w:lineRule="auto"/>
        <w:jc w:val="both"/>
      </w:pPr>
      <w:r>
        <w:rPr>
          <w:rFonts w:ascii="Times New Roman" w:hAnsi="Times New Roman"/>
          <w:b/>
          <w:sz w:val="22"/>
        </w:rPr>
        <w:t xml:space="preserve">Missing pieces / guardrails. </w:t>
      </w:r>
      <w:r>
        <w:rPr>
          <w:rFonts w:ascii="Times New Roman" w:hAnsi="Times New Roman"/>
          <w:sz w:val="22"/>
        </w:rPr>
        <w:t>Random trajectory controls equaled or exceeded real FEMs on the current endpoint. The safe claim is that retinal motion improves model spatial information efficiency over stabilization through a spectral-temporal mechanism, not that measured trajectories are uniquely optimal.</w:t>
      </w:r>
    </w:p>
    <w:p>
      <w:pPr>
        <w:pStyle w:val="Heading2"/>
      </w:pPr>
      <w:r>
        <w:t>4.6 Covariance-aware operating regime and input whitening</w:t>
      </w:r>
    </w:p>
    <w:p>
      <w:pPr>
        <w:spacing w:after="140" w:line="283" w:lineRule="auto"/>
        <w:jc w:val="both"/>
      </w:pPr>
      <w:r>
        <w:rPr>
          <w:rFonts w:ascii="Times New Roman" w:hAnsi="Times New Roman"/>
          <w:b/>
          <w:sz w:val="22"/>
        </w:rPr>
        <w:t xml:space="preserve">Motivation. </w:t>
      </w:r>
      <w:r>
        <w:rPr>
          <w:rFonts w:ascii="Times New Roman" w:hAnsi="Times New Roman"/>
          <w:sz w:val="22"/>
        </w:rPr>
        <w:t>This branch keeps the functional question alive while reducing circularity. It separates input-level whitening, pose-aware information, pose-blind covariance cost, and trajectory optimality.</w:t>
      </w:r>
    </w:p>
    <w:p>
      <w:pPr>
        <w:spacing w:after="140" w:line="283" w:lineRule="auto"/>
        <w:jc w:val="both"/>
      </w:pPr>
      <w:r>
        <w:rPr>
          <w:rFonts w:ascii="Times New Roman" w:hAnsi="Times New Roman"/>
          <w:b/>
          <w:sz w:val="22"/>
        </w:rPr>
        <w:t xml:space="preserve">Method. </w:t>
      </w:r>
      <w:r>
        <w:rPr>
          <w:rFonts w:ascii="Times New Roman" w:hAnsi="Times New Roman"/>
          <w:sz w:val="22"/>
        </w:rPr>
        <w:t>The covariance-aware run builds scaled real and random-control trajectories, computes expected counts and finite-difference derivatives, estimates movement-induced covariance, and summarizes independent, covariance-aware, and pose-blind Fisher efficiency curves. The input whitening run renders retinal natural-image movies and measures PSD slope, spectral entropy, flatness, autocorrelation time, and passband power without using twin responses as the optimization endpoint.</w:t>
      </w:r>
    </w:p>
    <w:p>
      <w:pPr>
        <w:spacing w:after="140" w:line="283" w:lineRule="auto"/>
        <w:jc w:val="both"/>
      </w:pPr>
      <w:r>
        <w:rPr>
          <w:rFonts w:ascii="Times New Roman" w:hAnsi="Times New Roman"/>
          <w:b/>
          <w:sz w:val="22"/>
        </w:rPr>
        <w:t xml:space="preserve">Current finding. </w:t>
      </w:r>
      <w:r>
        <w:rPr>
          <w:rFonts w:ascii="Times New Roman" w:hAnsi="Times New Roman"/>
          <w:sz w:val="22"/>
        </w:rPr>
        <w:t>Empirical D=1 is usually on a high-efficiency plateau but is not a unique optimum. After a code audit fixed the pose-aware/pose-blind covariance path, corrected pose-aware minus pose-blind Fisher gaps at D=1 remained positive in every family, especially for microsaccade windows. Input whitening showed that measured drift whitens input relative to stabilization, but no-cost temporal whitening keeps improving to the upper tested scale.</w:t>
      </w:r>
    </w:p>
    <w:p>
      <w:pPr>
        <w:spacing w:after="140" w:line="283" w:lineRule="auto"/>
        <w:jc w:val="both"/>
      </w:pPr>
      <w:r>
        <w:rPr>
          <w:rFonts w:ascii="Times New Roman" w:hAnsi="Times New Roman"/>
          <w:b/>
          <w:sz w:val="22"/>
        </w:rPr>
        <w:t xml:space="preserve">Missing pieces / guardrails. </w:t>
      </w:r>
      <w:r>
        <w:rPr>
          <w:rFonts w:ascii="Times New Roman" w:hAnsi="Times New Roman"/>
          <w:sz w:val="22"/>
        </w:rPr>
        <w:t>The branch supports pose-relevant reafferent covariance and an efficient operating range, not exact biological optimality. Raw input whitening alone does not explain biological scale; the next framing is a tradeoff among whitening, pose-aware benefit, pose-blind cost, Vernier acuity, V1 temporal sensitivity, motor cost, and fixation-window constraints.</w:t>
      </w:r>
    </w:p>
    <w:p>
      <w:pPr>
        <w:pStyle w:val="Heading2"/>
      </w:pPr>
      <w:r>
        <w:t>4.7 Vernier active-sensing branch</w:t>
      </w:r>
    </w:p>
    <w:p>
      <w:pPr>
        <w:spacing w:after="140" w:line="283" w:lineRule="auto"/>
        <w:jc w:val="both"/>
      </w:pPr>
      <w:r>
        <w:rPr>
          <w:rFonts w:ascii="Times New Roman" w:hAnsi="Times New Roman"/>
          <w:b/>
          <w:sz w:val="22"/>
        </w:rPr>
        <w:t xml:space="preserve">Motivation. </w:t>
      </w:r>
      <w:r>
        <w:rPr>
          <w:rFonts w:ascii="Times New Roman" w:hAnsi="Times New Roman"/>
          <w:sz w:val="22"/>
        </w:rPr>
        <w:t>Vernier offset is a cleaner hyperacuity endpoint than E-optotype orientation because it isolates a continuous fine-position variable.</w:t>
      </w:r>
    </w:p>
    <w:p>
      <w:pPr>
        <w:spacing w:after="140" w:line="283" w:lineRule="auto"/>
        <w:jc w:val="both"/>
      </w:pPr>
      <w:r>
        <w:rPr>
          <w:rFonts w:ascii="Times New Roman" w:hAnsi="Times New Roman"/>
          <w:b/>
          <w:sz w:val="22"/>
        </w:rPr>
        <w:t xml:space="preserve">Method. </w:t>
      </w:r>
      <w:r>
        <w:rPr>
          <w:rFonts w:ascii="Times New Roman" w:hAnsi="Times New Roman"/>
          <w:sz w:val="22"/>
        </w:rPr>
        <w:t>The first-pass renderer used a high-resolution Vernier stimulus, sampled onto the twin retinal grid, with balanced +/- offset luminance. Cached rates from 16 traces, 60 frames, 756 units, and 0.25/0.5 arcmin finite-difference steps were summarized under pose-aware diagonal-Poisson Fisher and a pose-blind count-plus-marginal readout.</w:t>
      </w:r>
    </w:p>
    <w:p>
      <w:pPr>
        <w:spacing w:after="140" w:line="283" w:lineRule="auto"/>
        <w:jc w:val="both"/>
      </w:pPr>
      <w:r>
        <w:rPr>
          <w:rFonts w:ascii="Times New Roman" w:hAnsi="Times New Roman"/>
          <w:b/>
          <w:sz w:val="22"/>
        </w:rPr>
        <w:t xml:space="preserve">Current finding. </w:t>
      </w:r>
      <w:r>
        <w:rPr>
          <w:rFonts w:ascii="Times New Roman" w:hAnsi="Times New Roman"/>
          <w:sz w:val="22"/>
        </w:rPr>
        <w:t>Real FEM beat static center in 16/16 traces, but static phase-cloud matched positions and order-shuffled positions also matched or explained much of the benefit. At 0.25 arcmin, static center Fisher was 0.1753, phase cloud 0.2733, real FEM 0.2676, and order-shuffled 0.2713. Half-scale real motion was strongest in the first pass.</w:t>
      </w:r>
    </w:p>
    <w:p>
      <w:pPr>
        <w:spacing w:after="140" w:line="283" w:lineRule="auto"/>
        <w:jc w:val="both"/>
      </w:pPr>
      <w:r>
        <w:rPr>
          <w:rFonts w:ascii="Times New Roman" w:hAnsi="Times New Roman"/>
          <w:b/>
          <w:sz w:val="22"/>
        </w:rPr>
        <w:t xml:space="preserve">Missing pieces / guardrails. </w:t>
      </w:r>
      <w:r>
        <w:rPr>
          <w:rFonts w:ascii="Times New Roman" w:hAnsi="Times New Roman"/>
          <w:sz w:val="22"/>
        </w:rPr>
        <w:t>The current claim is phase-cloud sampling improves pose-aware fine-offset information relative to a static center. Exact biological trajectory order is not yet supported as special, and pose-blind results are highly observer-assumption-dependent.</w:t>
      </w:r>
    </w:p>
    <w:p>
      <w:pPr>
        <w:pStyle w:val="Heading1"/>
      </w:pPr>
      <w:r>
        <w:t>5. Diagnostic, Null, and Missing-Piece Branches</w:t>
      </w:r>
    </w:p>
    <w:p>
      <w:pPr>
        <w:pStyle w:val="Heading2"/>
      </w:pPr>
      <w:r>
        <w:t>5.1 Content-routed correct-chart alignment</w:t>
      </w:r>
    </w:p>
    <w:p>
      <w:pPr>
        <w:spacing w:after="140" w:line="283" w:lineRule="auto"/>
        <w:jc w:val="both"/>
      </w:pPr>
      <w:r>
        <w:rPr>
          <w:rFonts w:ascii="Times New Roman" w:hAnsi="Times New Roman"/>
          <w:b/>
          <w:sz w:val="22"/>
        </w:rPr>
        <w:t xml:space="preserve">Motivation. </w:t>
      </w:r>
      <w:r>
        <w:rPr>
          <w:rFonts w:ascii="Times New Roman" w:hAnsi="Times New Roman"/>
          <w:sz w:val="22"/>
        </w:rPr>
        <w:t>This branch reframed compact geometry as a content-routed transformation channel rather than a shared absolute pose coordinate system.</w:t>
      </w:r>
    </w:p>
    <w:p>
      <w:pPr>
        <w:spacing w:after="140" w:line="283" w:lineRule="auto"/>
        <w:jc w:val="both"/>
      </w:pPr>
      <w:r>
        <w:rPr>
          <w:rFonts w:ascii="Times New Roman" w:hAnsi="Times New Roman"/>
          <w:b/>
          <w:sz w:val="22"/>
        </w:rPr>
        <w:t xml:space="preserve">Method. </w:t>
      </w:r>
      <w:r>
        <w:rPr>
          <w:rFonts w:ascii="Times New Roman" w:hAnsi="Times New Roman"/>
          <w:sz w:val="22"/>
        </w:rPr>
        <w:t>The runner pairs recorded fixRSVP repeats at the same image/time condition, predicts response differences from the fitted-twin translation chart, and compares true-chart alignment to wrong-chart, gain-only, random, unit-shuffled, and RF/readout controls. It includes leakage audits, drift masks, compact/full chart spaces, pseudo-spike positives, latency/history sweeps, and fold-availability diagnostics.</w:t>
      </w:r>
    </w:p>
    <w:p>
      <w:pPr>
        <w:spacing w:after="140" w:line="283" w:lineRule="auto"/>
        <w:jc w:val="both"/>
      </w:pPr>
      <w:r>
        <w:rPr>
          <w:rFonts w:ascii="Times New Roman" w:hAnsi="Times New Roman"/>
          <w:b/>
          <w:sz w:val="22"/>
        </w:rPr>
        <w:t xml:space="preserve">Current finding. </w:t>
      </w:r>
      <w:r>
        <w:rPr>
          <w:rFonts w:ascii="Times New Roman" w:hAnsi="Times New Roman"/>
          <w:sz w:val="22"/>
        </w:rPr>
        <w:t>Positive controls are clear: split-aware chart injection is detected. The recorded effect is fragile. A narrow gain-bottom compact positive appeared under nfold5, but it was effectively Allen-only and did not survive fold/session rebalancing.</w:t>
      </w:r>
    </w:p>
    <w:p>
      <w:pPr>
        <w:spacing w:after="140" w:line="283" w:lineRule="auto"/>
        <w:jc w:val="both"/>
      </w:pPr>
      <w:r>
        <w:rPr>
          <w:rFonts w:ascii="Times New Roman" w:hAnsi="Times New Roman"/>
          <w:b/>
          <w:sz w:val="22"/>
        </w:rPr>
        <w:t xml:space="preserve">Missing pieces / guardrails. </w:t>
      </w:r>
      <w:r>
        <w:rPr>
          <w:rFonts w:ascii="Times New Roman" w:hAnsi="Times New Roman"/>
          <w:sz w:val="22"/>
        </w:rPr>
        <w:t>Use this as a diagnostic branch. If reopened, preregister one targeted fold/subset rule, include Allen and Logan, and stop based on that result. Covariance closure remains the promoted recorded bridge.</w:t>
      </w:r>
    </w:p>
    <w:p>
      <w:pPr>
        <w:pStyle w:val="Heading2"/>
      </w:pPr>
      <w:r>
        <w:t>5.2 Recorded pose-aware prediction GLM</w:t>
      </w:r>
    </w:p>
    <w:p>
      <w:pPr>
        <w:spacing w:after="140" w:line="283" w:lineRule="auto"/>
        <w:jc w:val="both"/>
      </w:pPr>
      <w:r>
        <w:rPr>
          <w:rFonts w:ascii="Times New Roman" w:hAnsi="Times New Roman"/>
          <w:b/>
          <w:sz w:val="22"/>
        </w:rPr>
        <w:t xml:space="preserve">Motivation. </w:t>
      </w:r>
      <w:r>
        <w:rPr>
          <w:rFonts w:ascii="Times New Roman" w:hAnsi="Times New Roman"/>
          <w:sz w:val="22"/>
        </w:rPr>
        <w:t>This was the direct cortex bridge for Figure 5: ask whether measured eye state improves held-out prediction of recorded V1 spike counts beyond a stimulus-time/PSTH model.</w:t>
      </w:r>
    </w:p>
    <w:p>
      <w:pPr>
        <w:spacing w:after="140" w:line="283" w:lineRule="auto"/>
        <w:jc w:val="both"/>
      </w:pPr>
      <w:r>
        <w:rPr>
          <w:rFonts w:ascii="Times New Roman" w:hAnsi="Times New Roman"/>
          <w:b/>
          <w:sz w:val="22"/>
        </w:rPr>
        <w:t xml:space="preserve">Method. </w:t>
      </w:r>
      <w:r>
        <w:rPr>
          <w:rFonts w:ascii="Times New Roman" w:hAnsi="Times New Roman"/>
          <w:sz w:val="22"/>
        </w:rPr>
        <w:t>The ladder was cache-first and content-blind: PSTH-only Poisson GLM, eye-only, PSTH plus additive eye features, PSTH plus scalar gain, and PSTH plus coarse time-by-eye interactions. Controls included trial-disjoint folds, valid-aware shuffled-eye traces, leakage audits, and session bootstraps.</w:t>
      </w:r>
    </w:p>
    <w:p>
      <w:pPr>
        <w:spacing w:after="140" w:line="283" w:lineRule="auto"/>
        <w:jc w:val="both"/>
      </w:pPr>
      <w:r>
        <w:rPr>
          <w:rFonts w:ascii="Times New Roman" w:hAnsi="Times New Roman"/>
          <w:b/>
          <w:sz w:val="22"/>
        </w:rPr>
        <w:t xml:space="preserve">Current finding. </w:t>
      </w:r>
      <w:r>
        <w:rPr>
          <w:rFonts w:ascii="Times New Roman" w:hAnsi="Times New Roman"/>
          <w:sz w:val="22"/>
        </w:rPr>
        <w:t>The six-session batch was technically clean, but M1 additive-eye did not beat shuffled-eye controls: mean real-minus-shuffle -0.074 bits/spike, CI [-0.216, 0.052], 2/6 sessions positive. The coarse interaction model overfit badly and was worse than controls.</w:t>
      </w:r>
    </w:p>
    <w:p>
      <w:pPr>
        <w:spacing w:after="140" w:line="283" w:lineRule="auto"/>
        <w:jc w:val="both"/>
      </w:pPr>
      <w:r>
        <w:rPr>
          <w:rFonts w:ascii="Times New Roman" w:hAnsi="Times New Roman"/>
          <w:b/>
          <w:sz w:val="22"/>
        </w:rPr>
        <w:t xml:space="preserve">Missing pieces / guardrails. </w:t>
      </w:r>
      <w:r>
        <w:rPr>
          <w:rFonts w:ascii="Times New Roman" w:hAnsi="Times New Roman"/>
          <w:sz w:val="22"/>
        </w:rPr>
        <w:t>This refutes a narrow downstream claim, not the covariance or compact-geometry result. It says a simple content-blind GLM ladder did not recover a pose-aware prediction benefit. Keep it out of the main claim except as a controlled null.</w:t>
      </w:r>
    </w:p>
    <w:p>
      <w:pPr>
        <w:pStyle w:val="Heading2"/>
      </w:pPr>
      <w:r>
        <w:t>5.3 Structured decoders and forward-twin denoising</w:t>
      </w:r>
    </w:p>
    <w:p>
      <w:pPr>
        <w:spacing w:after="140" w:line="283" w:lineRule="auto"/>
        <w:jc w:val="both"/>
      </w:pPr>
      <w:r>
        <w:rPr>
          <w:rFonts w:ascii="Times New Roman" w:hAnsi="Times New Roman"/>
          <w:b/>
          <w:sz w:val="22"/>
        </w:rPr>
        <w:t xml:space="preserve">Motivation. </w:t>
      </w:r>
      <w:r>
        <w:rPr>
          <w:rFonts w:ascii="Times New Roman" w:hAnsi="Times New Roman"/>
          <w:sz w:val="22"/>
        </w:rPr>
        <w:t>These branches ask whether compact geometry predicts recorded single-trial or pairwise signals beyond global gain explanations.</w:t>
      </w:r>
    </w:p>
    <w:p>
      <w:pPr>
        <w:spacing w:after="140" w:line="283" w:lineRule="auto"/>
        <w:jc w:val="both"/>
      </w:pPr>
      <w:r>
        <w:rPr>
          <w:rFonts w:ascii="Times New Roman" w:hAnsi="Times New Roman"/>
          <w:b/>
          <w:sz w:val="22"/>
        </w:rPr>
        <w:t xml:space="preserve">Method. </w:t>
      </w:r>
      <w:r>
        <w:rPr>
          <w:rFonts w:ascii="Times New Roman" w:hAnsi="Times New Roman"/>
          <w:sz w:val="22"/>
        </w:rPr>
        <w:t>The structured decoder uses trial-disjoint same-condition pairs, local chart inversion, gain-orthogonal metrics, rank-1 gain nulls, and chart-time shuffles. Forward denoising is currently represented by a smoke/preview output using twin(real) minus twin(stabilized) corrections, compact/random/unit-shuffle bases, fold-trained gains, and matched shuffled-eye nulls.</w:t>
      </w:r>
    </w:p>
    <w:p>
      <w:pPr>
        <w:spacing w:after="140" w:line="283" w:lineRule="auto"/>
        <w:jc w:val="both"/>
      </w:pPr>
      <w:r>
        <w:rPr>
          <w:rFonts w:ascii="Times New Roman" w:hAnsi="Times New Roman"/>
          <w:b/>
          <w:sz w:val="22"/>
        </w:rPr>
        <w:t xml:space="preserve">Current finding. </w:t>
      </w:r>
      <w:r>
        <w:rPr>
          <w:rFonts w:ascii="Times New Roman" w:hAnsi="Times New Roman"/>
          <w:sz w:val="22"/>
        </w:rPr>
        <w:t>The v2 structured decoder was a controlled null: compact gain-orthogonal sign accuracy was about 0.4985 and did not beat chart-shuffle controls. The patched matched-context refresh found displacement signal that weakens sharply after global-rate and target-PC1 projection. In the smoke/preview forward-denoising table, the effect was positive versus random/unit-shuffle geometry but did not beat shuffled-eye controls.</w:t>
      </w:r>
    </w:p>
    <w:p>
      <w:pPr>
        <w:spacing w:after="140" w:line="283" w:lineRule="auto"/>
        <w:jc w:val="both"/>
      </w:pPr>
      <w:r>
        <w:rPr>
          <w:rFonts w:ascii="Times New Roman" w:hAnsi="Times New Roman"/>
          <w:b/>
          <w:sz w:val="22"/>
        </w:rPr>
        <w:t xml:space="preserve">Missing pieces / guardrails. </w:t>
      </w:r>
      <w:r>
        <w:rPr>
          <w:rFonts w:ascii="Times New Roman" w:hAnsi="Times New Roman"/>
          <w:sz w:val="22"/>
        </w:rPr>
        <w:t>These results bound the story: compact geometry is robust at the covariance/structural level, while current single-trial displacement decoding and eye-trace-specific denoising do not yet isolate a compact-specific bridge. Do not treat the forward-denoising smoke output as a final multi-session headline.</w:t>
      </w:r>
    </w:p>
    <w:p>
      <w:pPr>
        <w:pStyle w:val="Heading1"/>
      </w:pPr>
      <w:r>
        <w:t>6. Practical Next Gates</w:t>
      </w:r>
    </w:p>
    <w:p>
      <w:pPr>
        <w:pStyle w:val="ListBullet"/>
        <w:spacing w:after="80" w:line="276" w:lineRule="auto"/>
        <w:ind w:left="360" w:hanging="173"/>
      </w:pPr>
      <w:r>
        <w:rPr>
          <w:rFonts w:ascii="Times New Roman" w:hAnsi="Times New Roman"/>
          <w:sz w:val="21"/>
        </w:rPr>
        <w:t>Use the corrected estimator path: consistent time-bin weighting plus full-target eye-position matching for reported covariance/Fano values.</w:t>
      </w:r>
    </w:p>
    <w:p>
      <w:pPr>
        <w:pStyle w:val="ListBullet"/>
        <w:spacing w:after="80" w:line="276" w:lineRule="auto"/>
        <w:ind w:left="360" w:hanging="173"/>
      </w:pPr>
      <w:r>
        <w:rPr>
          <w:rFonts w:ascii="Times New Roman" w:hAnsi="Times New Roman"/>
          <w:sz w:val="21"/>
        </w:rPr>
        <w:t>Regenerate or attach repo-auditable estimator-extension tables before quoting exact pair-count, 1-alpha, Fano, Fisher-z, or shuffle-null numbers.</w:t>
      </w:r>
    </w:p>
    <w:p>
      <w:pPr>
        <w:pStyle w:val="ListBullet"/>
        <w:spacing w:after="80" w:line="276" w:lineRule="auto"/>
        <w:ind w:left="360" w:hanging="173"/>
      </w:pPr>
      <w:r>
        <w:rPr>
          <w:rFonts w:ascii="Times New Roman" w:hAnsi="Times New Roman"/>
          <w:sz w:val="21"/>
        </w:rPr>
        <w:t>Keep raw edge geometry as the behavioral baseline; any refined local model must beat it out of sample.</w:t>
      </w:r>
    </w:p>
    <w:p>
      <w:pPr>
        <w:pStyle w:val="ListBullet"/>
        <w:spacing w:after="80" w:line="276" w:lineRule="auto"/>
        <w:ind w:left="360" w:hanging="173"/>
      </w:pPr>
      <w:r>
        <w:rPr>
          <w:rFonts w:ascii="Times New Roman" w:hAnsi="Times New Roman"/>
          <w:sz w:val="21"/>
        </w:rPr>
        <w:t>Promote the aggregate BackImage result as distributional: empirical drift-like statistics add feature-decodable structure, strongest and cleanest at small scales.</w:t>
      </w:r>
    </w:p>
    <w:p>
      <w:pPr>
        <w:pStyle w:val="ListBullet"/>
        <w:spacing w:after="80" w:line="276" w:lineRule="auto"/>
        <w:ind w:left="360" w:hanging="173"/>
      </w:pPr>
      <w:r>
        <w:rPr>
          <w:rFonts w:ascii="Times New Roman" w:hAnsi="Times New Roman"/>
          <w:sz w:val="21"/>
        </w:rPr>
        <w:t>Treat the local pairing result as promising but supplementary until rotated-actual and edge-axis baselines are clean.</w:t>
      </w:r>
    </w:p>
    <w:p>
      <w:pPr>
        <w:pStyle w:val="ListBullet"/>
        <w:spacing w:after="80" w:line="276" w:lineRule="auto"/>
        <w:ind w:left="360" w:hanging="173"/>
      </w:pPr>
      <w:r>
        <w:rPr>
          <w:rFonts w:ascii="Times New Roman" w:hAnsi="Times New Roman"/>
          <w:sz w:val="21"/>
        </w:rPr>
        <w:t>Make the joint observer a main conceptual result, but clearly label it finite-candidate likelihood accuracy rather than mutual information.</w:t>
      </w:r>
    </w:p>
    <w:p>
      <w:pPr>
        <w:pStyle w:val="ListBullet"/>
        <w:spacing w:after="80" w:line="276" w:lineRule="auto"/>
        <w:ind w:left="360" w:hanging="173"/>
      </w:pPr>
      <w:r>
        <w:rPr>
          <w:rFonts w:ascii="Times New Roman" w:hAnsi="Times New Roman"/>
          <w:sz w:val="21"/>
        </w:rPr>
        <w:t>For behavior-constrained objectives, rerun on the full canonical population or show stability with larger sampled populations; keep tiny sampled variants as transfer checks.</w:t>
      </w:r>
    </w:p>
    <w:p>
      <w:pPr>
        <w:pStyle w:val="ListBullet"/>
        <w:spacing w:after="80" w:line="276" w:lineRule="auto"/>
        <w:ind w:left="360" w:hanging="173"/>
      </w:pPr>
      <w:r>
        <w:rPr>
          <w:rFonts w:ascii="Times New Roman" w:hAnsi="Times New Roman"/>
          <w:sz w:val="21"/>
        </w:rPr>
        <w:t>For input whitening, complete Rucci-style spatial power-law audits with trace-level and image-level uncertainty before using whitening as a scale-setting claim.</w:t>
      </w:r>
    </w:p>
    <w:p>
      <w:pPr>
        <w:pStyle w:val="ListBullet"/>
        <w:spacing w:after="80" w:line="276" w:lineRule="auto"/>
        <w:ind w:left="360" w:hanging="173"/>
      </w:pPr>
      <w:r>
        <w:rPr>
          <w:rFonts w:ascii="Times New Roman" w:hAnsi="Times New Roman"/>
          <w:sz w:val="21"/>
        </w:rPr>
        <w:t>External literature comparisons remain citation-sensitive; keep citation-specific claims out of final prose until source pages are checked.</w:t>
      </w:r>
    </w:p>
    <w:p>
      <w:pPr>
        <w:pStyle w:val="Heading1"/>
      </w:pPr>
      <w:r>
        <w:t>Source Materials Used</w:t>
      </w:r>
    </w:p>
    <w:p>
      <w:pPr>
        <w:pStyle w:val="ListBullet"/>
        <w:spacing w:after="80" w:line="276" w:lineRule="auto"/>
        <w:ind w:left="360" w:hanging="173"/>
      </w:pPr>
      <w:r>
        <w:rPr>
          <w:rFonts w:ascii="Times New Roman" w:hAnsi="Times New Roman"/>
          <w:sz w:val="21"/>
        </w:rPr>
        <w:t>C:\Users\Declan\Documents\2026\V1-FEM\inhomogenous stimuli writeup.pdf</w:t>
      </w:r>
    </w:p>
    <w:p>
      <w:pPr>
        <w:pStyle w:val="ListBullet"/>
        <w:spacing w:after="80" w:line="276" w:lineRule="auto"/>
        <w:ind w:left="360" w:hanging="173"/>
      </w:pPr>
      <w:r>
        <w:rPr>
          <w:rFonts w:ascii="Times New Roman" w:hAnsi="Times New Roman"/>
          <w:sz w:val="21"/>
        </w:rPr>
        <w:t>C:\Users\Declan\Documents\2026\V1-FEM\panel_text_atlas.pdf</w:t>
      </w:r>
    </w:p>
    <w:p>
      <w:pPr>
        <w:pStyle w:val="ListBullet"/>
        <w:spacing w:after="80" w:line="276" w:lineRule="auto"/>
        <w:ind w:left="360" w:hanging="173"/>
      </w:pPr>
      <w:r>
        <w:rPr>
          <w:rFonts w:ascii="Times New Roman" w:hAnsi="Times New Roman"/>
          <w:sz w:val="21"/>
        </w:rPr>
        <w:t>C:\Users\Declan\Documents\2026\V1-FEM\3models.docx</w:t>
      </w:r>
    </w:p>
    <w:p>
      <w:pPr>
        <w:pStyle w:val="ListBullet"/>
        <w:spacing w:after="80" w:line="276" w:lineRule="auto"/>
        <w:ind w:left="360" w:hanging="173"/>
      </w:pPr>
      <w:r>
        <w:rPr>
          <w:rFonts w:ascii="Times New Roman" w:hAnsi="Times New Roman"/>
          <w:sz w:val="21"/>
        </w:rPr>
        <w:t>C:\Users\Declan\Documents\2026\V1-FEM\ANALYSIS_NARRATIVE.md</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8"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Times New Roman" w:hAnsi="Times New Roman"/>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