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685925" cy="895350"/>
            <wp:effectExtent l="0" t="0" r="9525"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5925" cy="895350"/>
                    </a:xfrm>
                    <a:prstGeom prst="rect">
                      <a:avLst/>
                    </a:prstGeom>
                  </pic:spPr>
                </pic:pic>
              </a:graphicData>
            </a:graphic>
          </wp:inline>
        </w:drawing>
      </w:r>
    </w:p>
    <w:p>
      <w:pPr>
        <w:jc w:val="center"/>
        <w:rPr>
          <w:rFonts w:ascii="Times New Roman" w:hAnsi="Times New Roman" w:cs="Times New Roman"/>
          <w:b/>
          <w:sz w:val="107"/>
        </w:rPr>
      </w:pPr>
      <w:r>
        <w:rPr>
          <w:rFonts w:ascii="Times New Roman" w:hAnsi="Times New Roman" w:cs="Times New Roman"/>
          <w:b/>
          <w:sz w:val="107"/>
        </w:rPr>
        <w:t xml:space="preserve">B38EM </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Lab1</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 Report</w:t>
      </w: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left"/>
        <w:rPr>
          <w:rFonts w:ascii="Times New Roman" w:hAnsi="Times New Roman" w:cs="Times New Roman"/>
          <w:b/>
          <w:sz w:val="24"/>
          <w:szCs w:val="24"/>
        </w:rPr>
      </w:pPr>
      <w:r>
        <w:rPr>
          <w:rFonts w:hint="eastAsia" w:ascii="Times New Roman" w:hAnsi="Times New Roman" w:cs="Times New Roman"/>
          <w:b/>
          <w:sz w:val="24"/>
          <w:szCs w:val="24"/>
        </w:rPr>
        <w:t>N</w:t>
      </w:r>
      <w:r>
        <w:rPr>
          <w:rFonts w:ascii="Times New Roman" w:hAnsi="Times New Roman" w:cs="Times New Roman"/>
          <w:b/>
          <w:sz w:val="24"/>
          <w:szCs w:val="24"/>
        </w:rPr>
        <w:t>ame: MA XUNCHI</w:t>
      </w:r>
    </w:p>
    <w:p>
      <w:pPr>
        <w:jc w:val="left"/>
        <w:rPr>
          <w:rFonts w:ascii="Times New Roman" w:hAnsi="Times New Roman" w:cs="Times New Roman"/>
          <w:b/>
          <w:sz w:val="24"/>
          <w:szCs w:val="24"/>
        </w:rPr>
      </w:pPr>
      <w:r>
        <w:rPr>
          <w:rFonts w:ascii="Times New Roman" w:hAnsi="Times New Roman" w:cs="Times New Roman"/>
          <w:b/>
          <w:sz w:val="24"/>
          <w:szCs w:val="24"/>
        </w:rPr>
        <w:t>HW ID:H00392669 XDU ID:21012100015</w:t>
      </w:r>
    </w:p>
    <w:p>
      <w:pPr>
        <w:numPr>
          <w:ilvl w:val="0"/>
          <w:numId w:val="1"/>
        </w:numPr>
        <w:jc w:val="left"/>
        <w:rPr>
          <w:rFonts w:ascii="Times New Roman" w:hAnsi="Times New Roman" w:cs="Times New Roman"/>
          <w:bCs/>
          <w:sz w:val="24"/>
          <w:szCs w:val="24"/>
        </w:rPr>
      </w:pPr>
      <w:r>
        <w:rPr>
          <w:rFonts w:ascii="Times New Roman" w:hAnsi="Times New Roman" w:cs="Times New Roman"/>
          <w:b/>
          <w:sz w:val="24"/>
          <w:szCs w:val="24"/>
        </w:rPr>
        <w:t xml:space="preserve">Introduction    </w:t>
      </w:r>
      <w:r>
        <w:rPr>
          <w:rFonts w:ascii="Times New Roman" w:hAnsi="Times New Roman" w:cs="Times New Roman"/>
          <w:b/>
          <w:sz w:val="24"/>
          <w:szCs w:val="24"/>
        </w:rPr>
        <w:cr/>
      </w:r>
      <w:r>
        <w:rPr>
          <w:rFonts w:ascii="Times New Roman" w:hAnsi="Times New Roman" w:cs="Times New Roman"/>
          <w:bCs/>
          <w:sz w:val="24"/>
          <w:szCs w:val="24"/>
        </w:rPr>
        <w:t xml:space="preserve">After studying the concept of electrostatics, dipole, charged bodies, students are going to observe their properties in the simulation software “CST Studio Suit”. </w:t>
      </w:r>
    </w:p>
    <w:p>
      <w:pPr>
        <w:jc w:val="left"/>
        <w:rPr>
          <w:rFonts w:ascii="Times New Roman" w:hAnsi="Times New Roman" w:cs="Times New Roman"/>
          <w:bCs/>
          <w:sz w:val="24"/>
          <w:szCs w:val="24"/>
        </w:rPr>
      </w:pPr>
    </w:p>
    <w:p>
      <w:pPr>
        <w:jc w:val="left"/>
        <w:rPr>
          <w:rFonts w:ascii="Times New Roman" w:hAnsi="Times New Roman" w:cs="Times New Roman"/>
          <w:bCs/>
          <w:sz w:val="24"/>
          <w:szCs w:val="24"/>
        </w:rPr>
      </w:pPr>
      <w:r>
        <w:rPr>
          <w:rFonts w:ascii="Times New Roman" w:hAnsi="Times New Roman" w:cs="Times New Roman"/>
          <w:bCs/>
          <w:sz w:val="24"/>
          <w:szCs w:val="24"/>
        </w:rPr>
        <w:t xml:space="preserve">The lab </w:t>
      </w:r>
      <w:r>
        <w:rPr>
          <w:rFonts w:hint="eastAsia" w:ascii="Times New Roman" w:hAnsi="Times New Roman" w:cs="Times New Roman"/>
          <w:bCs/>
          <w:sz w:val="24"/>
          <w:szCs w:val="24"/>
        </w:rPr>
        <w:t xml:space="preserve">aims to further understanding of the electrostatic concept of electric fields around dipoles/charged bodies. Participants investigate different configurations and see how field lines are produced by different distributions of charges. </w:t>
      </w:r>
    </w:p>
    <w:p>
      <w:pPr>
        <w:jc w:val="left"/>
        <w:rPr>
          <w:rFonts w:ascii="Times New Roman" w:hAnsi="Times New Roman" w:cs="Times New Roman"/>
          <w:bCs/>
          <w:sz w:val="24"/>
          <w:szCs w:val="24"/>
        </w:rPr>
      </w:pPr>
    </w:p>
    <w:p>
      <w:pPr>
        <w:jc w:val="left"/>
        <w:rPr>
          <w:rFonts w:ascii="Times New Roman" w:hAnsi="Times New Roman" w:cs="Times New Roman"/>
          <w:bCs/>
          <w:sz w:val="24"/>
          <w:szCs w:val="24"/>
        </w:rPr>
      </w:pPr>
      <w:r>
        <w:rPr>
          <w:rFonts w:ascii="Times New Roman" w:hAnsi="Times New Roman" w:cs="Times New Roman"/>
          <w:bCs/>
          <w:sz w:val="24"/>
          <w:szCs w:val="24"/>
        </w:rPr>
        <w:t>T</w:t>
      </w:r>
      <w:r>
        <w:rPr>
          <w:rFonts w:hint="eastAsia" w:ascii="Times New Roman" w:hAnsi="Times New Roman" w:cs="Times New Roman"/>
          <w:bCs/>
          <w:sz w:val="24"/>
          <w:szCs w:val="24"/>
        </w:rPr>
        <w:t>he main experiment involves simulating the electric field around two perfectly conducting, charged spheres with radius R0=1mm that are separated by D=6mm and have charges of q=8nC. The lab explores theory vs. simulation by calculating E-field at different points using Coulomb's Law and the principles of superposition.</w:t>
      </w:r>
    </w:p>
    <w:p>
      <w:pPr>
        <w:jc w:val="left"/>
        <w:rPr>
          <w:rFonts w:ascii="Times New Roman" w:hAnsi="Times New Roman" w:cs="Times New Roman"/>
          <w:bCs/>
          <w:sz w:val="24"/>
          <w:szCs w:val="24"/>
        </w:rPr>
      </w:pPr>
    </w:p>
    <w:p>
      <w:pPr>
        <w:jc w:val="left"/>
        <w:rPr>
          <w:rFonts w:ascii="Times New Roman" w:hAnsi="Times New Roman" w:cs="Times New Roman"/>
          <w:bCs/>
          <w:sz w:val="24"/>
          <w:szCs w:val="24"/>
        </w:rPr>
      </w:pPr>
      <w:r>
        <w:rPr>
          <w:rFonts w:hint="eastAsia" w:ascii="Times New Roman" w:hAnsi="Times New Roman" w:cs="Times New Roman"/>
          <w:bCs/>
          <w:sz w:val="24"/>
          <w:szCs w:val="24"/>
        </w:rPr>
        <w:t xml:space="preserve"> Other topics discussed in the lab are electric flux lines, Coulomb's law, and electric force on charged objects. The lab report serves as an assessment of the verification of the theory and indicates what the participants have learned while completing the laboratory activity.</w:t>
      </w:r>
    </w:p>
    <w:p>
      <w:pPr>
        <w:jc w:val="left"/>
        <w:rPr>
          <w:rFonts w:ascii="Times New Roman" w:hAnsi="Times New Roman" w:cs="Times New Roman"/>
          <w:bCs/>
          <w:sz w:val="24"/>
          <w:szCs w:val="24"/>
        </w:rPr>
      </w:pPr>
    </w:p>
    <w:p>
      <w:pPr>
        <w:numPr>
          <w:ilvl w:val="0"/>
          <w:numId w:val="1"/>
        </w:numPr>
        <w:jc w:val="left"/>
        <w:rPr>
          <w:rFonts w:ascii="Times New Roman" w:hAnsi="Times New Roman" w:cs="Times New Roman"/>
          <w:bCs/>
          <w:sz w:val="24"/>
          <w:szCs w:val="24"/>
        </w:rPr>
      </w:pPr>
      <w:r>
        <w:rPr>
          <w:rFonts w:ascii="Times New Roman Bold" w:hAnsi="Times New Roman Bold" w:cs="Times New Roman Bold"/>
          <w:b/>
          <w:sz w:val="24"/>
          <w:szCs w:val="24"/>
        </w:rPr>
        <w:t>Procedure</w:t>
      </w:r>
      <w:r>
        <w:rPr>
          <w:rFonts w:ascii="Times New Roman" w:hAnsi="Times New Roman" w:cs="Times New Roman"/>
          <w:b/>
          <w:sz w:val="24"/>
          <w:szCs w:val="24"/>
        </w:rPr>
        <w:cr/>
      </w:r>
      <w:r>
        <w:rPr>
          <w:rFonts w:ascii="Times New Roman" w:hAnsi="Times New Roman" w:cs="Times New Roman"/>
          <w:bCs/>
          <w:sz w:val="24"/>
          <w:szCs w:val="24"/>
        </w:rPr>
        <w:t>launch the CST and create a parameter table that we will use later</w:t>
      </w:r>
    </w:p>
    <w:p>
      <w:pPr>
        <w:jc w:val="left"/>
        <w:rPr>
          <w:rFonts w:ascii="Times New Roman" w:hAnsi="Times New Roman" w:cs="Times New Roman"/>
          <w:bCs/>
          <w:sz w:val="24"/>
          <w:szCs w:val="24"/>
        </w:rPr>
      </w:pPr>
      <w:r>
        <w:drawing>
          <wp:inline distT="0" distB="0" distL="0" distR="0">
            <wp:extent cx="5274310" cy="248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484755"/>
                    </a:xfrm>
                    <a:prstGeom prst="rect">
                      <a:avLst/>
                    </a:prstGeom>
                  </pic:spPr>
                </pic:pic>
              </a:graphicData>
            </a:graphic>
          </wp:inline>
        </w:drawing>
      </w:r>
    </w:p>
    <w:p>
      <w:pPr>
        <w:jc w:val="center"/>
        <w:rPr>
          <w:rFonts w:ascii="Times New Roman" w:hAnsi="Times New Roman" w:cs="Times New Roman"/>
          <w:bCs/>
          <w:sz w:val="24"/>
          <w:szCs w:val="24"/>
        </w:rPr>
      </w:pPr>
      <w:r>
        <w:rPr>
          <w:rFonts w:ascii="Times New Roman" w:hAnsi="Times New Roman" w:cs="Times New Roman"/>
          <w:bCs/>
          <w:sz w:val="24"/>
          <w:szCs w:val="24"/>
        </w:rPr>
        <w:t>Figure2.1: the parameter table</w:t>
      </w:r>
    </w:p>
    <w:p>
      <w:pPr>
        <w:rPr>
          <w:rFonts w:ascii="Times New Roman" w:hAnsi="Times New Roman" w:cs="Times New Roman"/>
          <w:bCs/>
          <w:sz w:val="24"/>
          <w:szCs w:val="24"/>
        </w:rPr>
      </w:pPr>
      <w:r>
        <w:rPr>
          <w:rFonts w:ascii="Times New Roman" w:hAnsi="Times New Roman" w:cs="Times New Roman"/>
          <w:bCs/>
          <w:sz w:val="24"/>
          <w:szCs w:val="24"/>
        </w:rPr>
        <w:t>Then configure all kinds of things to start simulation</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 xml:space="preserve">And we will get the simulation result </w:t>
      </w:r>
    </w:p>
    <w:p>
      <w:pPr>
        <w:rPr>
          <w:rFonts w:ascii="Times New Roman" w:hAnsi="Times New Roman" w:cs="Times New Roman"/>
          <w:bCs/>
          <w:sz w:val="24"/>
          <w:szCs w:val="24"/>
        </w:rPr>
      </w:pPr>
      <w:r>
        <w:drawing>
          <wp:inline distT="0" distB="0" distL="0" distR="0">
            <wp:extent cx="5274310" cy="2776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776220"/>
                    </a:xfrm>
                    <a:prstGeom prst="rect">
                      <a:avLst/>
                    </a:prstGeom>
                  </pic:spPr>
                </pic:pic>
              </a:graphicData>
            </a:graphic>
          </wp:inline>
        </w:drawing>
      </w:r>
    </w:p>
    <w:p>
      <w:pPr>
        <w:jc w:val="center"/>
        <w:rPr>
          <w:rFonts w:ascii="Times New Roman" w:hAnsi="Times New Roman" w:cs="Times New Roman"/>
          <w:bCs/>
          <w:sz w:val="24"/>
          <w:szCs w:val="24"/>
        </w:rPr>
      </w:pPr>
      <w:r>
        <w:rPr>
          <w:rFonts w:ascii="Times New Roman" w:hAnsi="Times New Roman" w:cs="Times New Roman"/>
          <w:bCs/>
          <w:sz w:val="24"/>
          <w:szCs w:val="24"/>
        </w:rPr>
        <w:t>Figure2.2: distribution of potential around the sphere</w:t>
      </w:r>
    </w:p>
    <w:p>
      <w:pPr>
        <w:rPr>
          <w:rFonts w:ascii="Times New Roman" w:hAnsi="Times New Roman" w:cs="Times New Roman"/>
          <w:bCs/>
          <w:sz w:val="24"/>
          <w:szCs w:val="24"/>
        </w:rPr>
      </w:pPr>
    </w:p>
    <w:p>
      <w:pPr>
        <w:numPr>
          <w:ilvl w:val="0"/>
          <w:numId w:val="1"/>
        </w:numPr>
        <w:jc w:val="left"/>
        <w:rPr>
          <w:rFonts w:ascii="Times New Roman" w:hAnsi="Times New Roman" w:cs="Times New Roman"/>
          <w:b/>
          <w:sz w:val="24"/>
          <w:szCs w:val="24"/>
        </w:rPr>
      </w:pPr>
      <w:r>
        <w:rPr>
          <w:rFonts w:ascii="Times New Roman" w:hAnsi="Times New Roman" w:cs="Times New Roman"/>
          <w:b/>
          <w:sz w:val="24"/>
          <w:szCs w:val="24"/>
        </w:rPr>
        <w:t xml:space="preserve">Exercises  </w:t>
      </w:r>
    </w:p>
    <w:p>
      <w:pPr>
        <w:jc w:val="left"/>
        <w:rPr>
          <w:rFonts w:ascii="Times New Roman" w:hAnsi="Times New Roman" w:cs="Times New Roman"/>
          <w:b/>
          <w:sz w:val="24"/>
          <w:szCs w:val="24"/>
        </w:rPr>
      </w:pPr>
      <w:r>
        <w:rPr>
          <w:rFonts w:ascii="Times New Roman" w:hAnsi="Times New Roman" w:cs="Times New Roman"/>
          <w:b/>
          <w:sz w:val="24"/>
          <w:szCs w:val="24"/>
        </w:rPr>
        <w:t xml:space="preserve">     </w:t>
      </w:r>
    </w:p>
    <w:p>
      <w:pPr>
        <w:jc w:val="left"/>
        <w:rPr>
          <w:rFonts w:ascii="Times New Roman" w:hAnsi="Times New Roman" w:cs="Times New Roman"/>
          <w:b/>
          <w:sz w:val="24"/>
          <w:szCs w:val="24"/>
        </w:rPr>
      </w:pPr>
      <w:r>
        <w:rPr>
          <w:rFonts w:ascii="Times New Roman" w:hAnsi="Times New Roman" w:cs="Times New Roman"/>
          <w:b/>
          <w:sz w:val="24"/>
          <w:szCs w:val="24"/>
        </w:rPr>
        <w:t>Exercises 1</w:t>
      </w:r>
    </w:p>
    <w:p>
      <w:pPr>
        <w:jc w:val="left"/>
        <w:rPr>
          <w:rFonts w:ascii="Times New Roman" w:hAnsi="Times New Roman" w:cs="Times New Roman"/>
          <w:bCs/>
          <w:sz w:val="24"/>
          <w:szCs w:val="24"/>
        </w:rPr>
      </w:pPr>
      <w:r>
        <w:rPr>
          <w:rFonts w:ascii="Times New Roman" w:hAnsi="Times New Roman" w:cs="Times New Roman"/>
          <w:bCs/>
          <w:sz w:val="24"/>
          <w:szCs w:val="24"/>
        </w:rPr>
        <w:t>1)</w:t>
      </w:r>
    </w:p>
    <w:p>
      <w:pPr>
        <w:jc w:val="center"/>
        <w:rPr>
          <w:rFonts w:ascii="Times New Roman" w:hAnsi="Times New Roman" w:cs="Times New Roman"/>
          <w:bCs/>
          <w:sz w:val="24"/>
          <w:szCs w:val="24"/>
        </w:rPr>
      </w:pPr>
      <w:r>
        <w:drawing>
          <wp:inline distT="0" distB="0" distL="0" distR="0">
            <wp:extent cx="4914265" cy="75184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14286" cy="752381"/>
                    </a:xfrm>
                    <a:prstGeom prst="rect">
                      <a:avLst/>
                    </a:prstGeom>
                  </pic:spPr>
                </pic:pic>
              </a:graphicData>
            </a:graphic>
          </wp:inline>
        </w:drawing>
      </w:r>
    </w:p>
    <w:p>
      <w:pPr>
        <w:jc w:val="center"/>
        <w:rPr>
          <w:rFonts w:ascii="Times New Roman" w:hAnsi="Times New Roman" w:cs="Times New Roman"/>
          <w:bCs/>
          <w:sz w:val="24"/>
          <w:szCs w:val="24"/>
          <w:lang w:eastAsia="zh-Hans"/>
        </w:rPr>
      </w:pPr>
      <w:r>
        <w:rPr>
          <w:rFonts w:ascii="Times New Roman" w:hAnsi="Times New Roman" w:cs="Times New Roman"/>
          <w:bCs/>
          <w:sz w:val="24"/>
          <w:szCs w:val="24"/>
        </w:rPr>
        <w:t xml:space="preserve">Figure3.1: the value of </w:t>
      </w:r>
      <w:r>
        <w:rPr>
          <w:rFonts w:hint="eastAsia" w:ascii="Times New Roman" w:hAnsi="Times New Roman" w:cs="Times New Roman"/>
          <w:bCs/>
          <w:sz w:val="24"/>
          <w:szCs w:val="24"/>
          <w:lang w:eastAsia="zh-Hans"/>
        </w:rPr>
        <w:t>Emax</w:t>
      </w:r>
    </w:p>
    <w:p>
      <w:pPr>
        <w:rPr>
          <w:rFonts w:ascii="Times New Roman" w:hAnsi="Times New Roman" w:cs="Times New Roman"/>
          <w:bCs/>
          <w:sz w:val="24"/>
          <w:szCs w:val="24"/>
        </w:rPr>
      </w:pPr>
      <w:r>
        <w:rPr>
          <w:rFonts w:ascii="Times New Roman" w:hAnsi="Times New Roman" w:cs="Times New Roman"/>
          <w:bCs/>
          <w:sz w:val="24"/>
          <w:szCs w:val="24"/>
        </w:rPr>
        <w:t>2)</w:t>
      </w:r>
    </w:p>
    <w:p>
      <w:pPr>
        <w:jc w:val="center"/>
        <w:rPr>
          <w:rFonts w:ascii="Times New Roman" w:hAnsi="Times New Roman" w:cs="Times New Roman"/>
          <w:bCs/>
          <w:sz w:val="24"/>
          <w:szCs w:val="24"/>
        </w:rPr>
      </w:pPr>
      <w:r>
        <w:drawing>
          <wp:inline distT="0" distB="0" distL="0" distR="0">
            <wp:extent cx="3352165" cy="3041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52381" cy="304762"/>
                    </a:xfrm>
                    <a:prstGeom prst="rect">
                      <a:avLst/>
                    </a:prstGeom>
                  </pic:spPr>
                </pic:pic>
              </a:graphicData>
            </a:graphic>
          </wp:inline>
        </w:drawing>
      </w:r>
    </w:p>
    <w:p>
      <w:pPr>
        <w:jc w:val="center"/>
        <w:rPr>
          <w:rFonts w:ascii="Times New Roman" w:hAnsi="Times New Roman" w:cs="Times New Roman"/>
          <w:bCs/>
          <w:sz w:val="24"/>
          <w:szCs w:val="24"/>
          <w:lang w:eastAsia="zh-Hans"/>
        </w:rPr>
      </w:pPr>
      <w:r>
        <w:rPr>
          <w:rFonts w:ascii="Times New Roman" w:hAnsi="Times New Roman" w:cs="Times New Roman"/>
          <w:bCs/>
          <w:sz w:val="24"/>
          <w:szCs w:val="24"/>
        </w:rPr>
        <w:t xml:space="preserve">Figure3.2: the value of </w:t>
      </w:r>
      <w:r>
        <w:rPr>
          <w:rFonts w:hint="eastAsia" w:ascii="Times New Roman" w:hAnsi="Times New Roman" w:cs="Times New Roman"/>
          <w:bCs/>
          <w:sz w:val="24"/>
          <w:szCs w:val="24"/>
          <w:lang w:eastAsia="zh-Hans"/>
        </w:rPr>
        <w:t>E</w:t>
      </w:r>
      <w:r>
        <w:rPr>
          <w:rFonts w:ascii="Times New Roman" w:hAnsi="Times New Roman" w:cs="Times New Roman"/>
          <w:bCs/>
          <w:sz w:val="24"/>
          <w:szCs w:val="24"/>
          <w:lang w:eastAsia="zh-Hans"/>
        </w:rPr>
        <w:t xml:space="preserve"> on the midpoint</w:t>
      </w:r>
    </w:p>
    <w:p>
      <w:pPr>
        <w:rPr>
          <w:rFonts w:ascii="Times New Roman" w:hAnsi="Times New Roman" w:cs="Times New Roman"/>
          <w:bCs/>
          <w:sz w:val="24"/>
          <w:szCs w:val="24"/>
          <w:lang w:eastAsia="zh-Hans"/>
        </w:rPr>
      </w:pPr>
      <w:r>
        <w:rPr>
          <w:rFonts w:ascii="Times New Roman" w:hAnsi="Times New Roman" w:cs="Times New Roman"/>
          <w:bCs/>
          <w:sz w:val="24"/>
          <w:szCs w:val="24"/>
          <w:lang w:eastAsia="zh-Hans"/>
        </w:rPr>
        <w:t xml:space="preserve">It is not the same. As observed from the simulation result, the electric field line </w:t>
      </w:r>
      <w:r>
        <w:rPr>
          <w:rFonts w:hint="eastAsia" w:ascii="Times New Roman" w:hAnsi="Times New Roman" w:cs="Times New Roman"/>
          <w:bCs/>
          <w:sz w:val="24"/>
          <w:szCs w:val="24"/>
          <w:lang w:eastAsia="zh-Hans"/>
        </w:rPr>
        <w:t>is</w:t>
      </w:r>
      <w:r>
        <w:rPr>
          <w:rFonts w:ascii="Times New Roman" w:hAnsi="Times New Roman" w:cs="Times New Roman"/>
          <w:bCs/>
          <w:sz w:val="24"/>
          <w:szCs w:val="24"/>
          <w:lang w:eastAsia="zh-Hans"/>
        </w:rPr>
        <w:t xml:space="preserve"> thinner at the midpoint and is dense at the sphere(corresponding to the E)</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3)</w:t>
      </w:r>
    </w:p>
    <w:p>
      <w:pPr>
        <w:jc w:val="left"/>
        <w:rPr>
          <w:rFonts w:hint="default" w:ascii="Times New Roman" w:hAnsi="Times New Roman" w:cs="Times New Roman"/>
          <w:bCs/>
          <w:sz w:val="24"/>
          <w:szCs w:val="24"/>
        </w:rPr>
      </w:pPr>
      <w:r>
        <w:rPr>
          <w:rFonts w:ascii="Times New Roman" w:hAnsi="Times New Roman" w:cs="Times New Roman"/>
          <w:bCs/>
          <w:sz w:val="24"/>
          <w:szCs w:val="24"/>
        </w:rPr>
        <w:t>The Emax is approximately the same as the result calculated from the pre-Lab</w:t>
      </w:r>
      <w:r>
        <w:rPr>
          <w:rFonts w:hint="default" w:ascii="Times New Roman" w:hAnsi="Times New Roman" w:cs="Times New Roman"/>
          <w:bCs/>
          <w:sz w:val="24"/>
          <w:szCs w:val="24"/>
        </w:rPr>
        <w:t xml:space="preserve"> (7.5*10^7</w:t>
      </w:r>
      <w:bookmarkStart w:id="0" w:name="_GoBack"/>
      <w:bookmarkEnd w:id="0"/>
      <w:r>
        <w:rPr>
          <w:rFonts w:hint="default" w:ascii="Times New Roman" w:hAnsi="Times New Roman" w:cs="Times New Roman"/>
          <w:bCs/>
          <w:sz w:val="24"/>
          <w:szCs w:val="24"/>
        </w:rPr>
        <w:t>)</w:t>
      </w:r>
    </w:p>
    <w:p>
      <w:pPr>
        <w:jc w:val="left"/>
        <w:rPr>
          <w:rFonts w:ascii="Times New Roman" w:hAnsi="Times New Roman" w:cs="Times New Roman"/>
          <w:bCs/>
          <w:sz w:val="24"/>
          <w:szCs w:val="24"/>
        </w:rPr>
      </w:pPr>
    </w:p>
    <w:p>
      <w:pPr>
        <w:jc w:val="left"/>
        <w:rPr>
          <w:rFonts w:ascii="Times New Roman" w:hAnsi="Times New Roman" w:cs="Times New Roman"/>
          <w:bCs/>
          <w:sz w:val="24"/>
          <w:szCs w:val="24"/>
        </w:rPr>
      </w:pPr>
      <w:r>
        <w:rPr>
          <w:rFonts w:ascii="Times New Roman" w:hAnsi="Times New Roman" w:cs="Times New Roman"/>
          <w:b/>
          <w:sz w:val="24"/>
          <w:szCs w:val="24"/>
        </w:rPr>
        <w:t>Exercises 2</w:t>
      </w:r>
    </w:p>
    <w:p>
      <w:pPr>
        <w:jc w:val="left"/>
        <w:rPr>
          <w:rFonts w:ascii="Times New Roman" w:hAnsi="Times New Roman" w:cs="Times New Roman"/>
          <w:bCs/>
          <w:sz w:val="24"/>
          <w:szCs w:val="24"/>
        </w:rPr>
      </w:pPr>
      <w:r>
        <w:drawing>
          <wp:inline distT="0" distB="0" distL="0" distR="0">
            <wp:extent cx="5274310" cy="1647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647825"/>
                    </a:xfrm>
                    <a:prstGeom prst="rect">
                      <a:avLst/>
                    </a:prstGeom>
                  </pic:spPr>
                </pic:pic>
              </a:graphicData>
            </a:graphic>
          </wp:inline>
        </w:drawing>
      </w:r>
    </w:p>
    <w:p>
      <w:pPr>
        <w:jc w:val="center"/>
        <w:rPr>
          <w:rFonts w:ascii="Times New Roman" w:hAnsi="Times New Roman" w:cs="Times New Roman"/>
          <w:bCs/>
          <w:sz w:val="24"/>
          <w:szCs w:val="24"/>
          <w:lang w:eastAsia="zh-Hans"/>
        </w:rPr>
      </w:pPr>
      <w:r>
        <w:rPr>
          <w:rFonts w:ascii="Times New Roman" w:hAnsi="Times New Roman" w:cs="Times New Roman"/>
          <w:bCs/>
          <w:sz w:val="24"/>
          <w:szCs w:val="24"/>
        </w:rPr>
        <w:t>Figure3.3: the diagram of Emax</w:t>
      </w:r>
    </w:p>
    <w:p>
      <w:pPr>
        <w:jc w:val="left"/>
        <w:rPr>
          <w:rFonts w:ascii="Times New Roman" w:hAnsi="Times New Roman" w:cs="Times New Roman"/>
          <w:bCs/>
          <w:sz w:val="24"/>
          <w:szCs w:val="24"/>
        </w:rPr>
      </w:pPr>
      <w:r>
        <w:rPr>
          <w:rFonts w:ascii="Times New Roman" w:hAnsi="Times New Roman" w:cs="Times New Roman"/>
          <w:bCs/>
          <w:sz w:val="24"/>
          <w:szCs w:val="24"/>
        </w:rPr>
        <w:t>Comment: with the distance increasing the Emax decreased first reached the minimum value when d approximate equal to 5.9m and then increase</w:t>
      </w:r>
      <w:r>
        <w:rPr>
          <w:rFonts w:ascii="Times New Roman" w:hAnsi="Times New Roman" w:cs="Times New Roman"/>
          <w:bCs/>
          <w:sz w:val="24"/>
          <w:szCs w:val="24"/>
        </w:rPr>
        <w:cr/>
      </w:r>
    </w:p>
    <w:p>
      <w:pPr>
        <w:jc w:val="left"/>
        <w:rPr>
          <w:rFonts w:ascii="Times New Roman" w:hAnsi="Times New Roman" w:cs="Times New Roman"/>
          <w:bCs/>
          <w:sz w:val="24"/>
          <w:szCs w:val="24"/>
        </w:rPr>
      </w:pPr>
      <w:r>
        <w:rPr>
          <w:rFonts w:ascii="Times New Roman" w:hAnsi="Times New Roman" w:cs="Times New Roman"/>
          <w:b/>
          <w:sz w:val="24"/>
          <w:szCs w:val="24"/>
        </w:rPr>
        <w:t>Exercises 3</w:t>
      </w:r>
    </w:p>
    <w:p>
      <w:pPr>
        <w:jc w:val="left"/>
        <w:rPr>
          <w:rFonts w:ascii="Times New Roman" w:hAnsi="Times New Roman" w:cs="Times New Roman"/>
          <w:bCs/>
          <w:sz w:val="24"/>
          <w:szCs w:val="24"/>
        </w:rPr>
      </w:pPr>
      <w:r>
        <w:rPr>
          <w:rFonts w:ascii="Times New Roman" w:hAnsi="Times New Roman" w:cs="Times New Roman"/>
          <w:bCs/>
          <w:sz w:val="24"/>
          <w:szCs w:val="24"/>
        </w:rPr>
        <w:t>1)</w:t>
      </w:r>
    </w:p>
    <w:p>
      <w:pPr>
        <w:jc w:val="center"/>
        <w:rPr>
          <w:rFonts w:ascii="Times New Roman" w:hAnsi="Times New Roman" w:cs="Times New Roman"/>
          <w:bCs/>
          <w:sz w:val="24"/>
          <w:szCs w:val="24"/>
        </w:rPr>
      </w:pPr>
      <w:r>
        <w:drawing>
          <wp:inline distT="0" distB="0" distL="0" distR="0">
            <wp:extent cx="5274310" cy="1859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859280"/>
                    </a:xfrm>
                    <a:prstGeom prst="rect">
                      <a:avLst/>
                    </a:prstGeom>
                  </pic:spPr>
                </pic:pic>
              </a:graphicData>
            </a:graphic>
          </wp:inline>
        </w:drawing>
      </w:r>
    </w:p>
    <w:p>
      <w:pPr>
        <w:jc w:val="center"/>
        <w:rPr>
          <w:rFonts w:ascii="Times New Roman" w:hAnsi="Times New Roman" w:cs="Times New Roman"/>
          <w:bCs/>
          <w:sz w:val="24"/>
          <w:szCs w:val="24"/>
          <w:lang w:eastAsia="zh-Hans"/>
        </w:rPr>
      </w:pPr>
      <w:r>
        <w:rPr>
          <w:rFonts w:ascii="Times New Roman" w:hAnsi="Times New Roman" w:cs="Times New Roman"/>
          <w:bCs/>
          <w:sz w:val="24"/>
          <w:szCs w:val="24"/>
        </w:rPr>
        <w:t>Figure3.4: electric field orientation</w:t>
      </w:r>
    </w:p>
    <w:p>
      <w:pPr>
        <w:jc w:val="left"/>
        <w:rPr>
          <w:rFonts w:ascii="Times New Roman" w:hAnsi="Times New Roman" w:cs="Times New Roman"/>
          <w:bCs/>
          <w:sz w:val="24"/>
          <w:szCs w:val="24"/>
        </w:rPr>
      </w:pPr>
      <w:r>
        <w:rPr>
          <w:rFonts w:ascii="Times New Roman" w:hAnsi="Times New Roman" w:cs="Times New Roman"/>
          <w:bCs/>
          <w:sz w:val="24"/>
          <w:szCs w:val="24"/>
        </w:rPr>
        <w:t>The electric field point outwards near the positive charge and point inwards near the negative charge. It is denser near the two particles especially at face to face side.</w:t>
      </w:r>
    </w:p>
    <w:p>
      <w:pPr>
        <w:jc w:val="left"/>
        <w:rPr>
          <w:rFonts w:ascii="Times New Roman" w:hAnsi="Times New Roman" w:cs="Times New Roman"/>
          <w:bCs/>
          <w:sz w:val="24"/>
          <w:szCs w:val="24"/>
        </w:rPr>
      </w:pPr>
    </w:p>
    <w:p>
      <w:pPr>
        <w:jc w:val="left"/>
        <w:rPr>
          <w:rFonts w:ascii="Times New Roman" w:hAnsi="Times New Roman" w:cs="Times New Roman"/>
          <w:bCs/>
          <w:sz w:val="24"/>
          <w:szCs w:val="24"/>
        </w:rPr>
      </w:pPr>
      <w:r>
        <w:rPr>
          <w:rFonts w:ascii="Times New Roman" w:hAnsi="Times New Roman" w:cs="Times New Roman"/>
          <w:bCs/>
          <w:sz w:val="24"/>
          <w:szCs w:val="24"/>
        </w:rPr>
        <w:t>2)</w:t>
      </w:r>
    </w:p>
    <w:p>
      <w:pPr>
        <w:jc w:val="left"/>
        <w:rPr>
          <w:rFonts w:ascii="Times New Roman" w:hAnsi="Times New Roman" w:cs="Times New Roman"/>
          <w:bCs/>
          <w:sz w:val="24"/>
          <w:szCs w:val="24"/>
        </w:rPr>
      </w:pPr>
      <w:r>
        <w:drawing>
          <wp:inline distT="0" distB="0" distL="0" distR="0">
            <wp:extent cx="5274310" cy="1981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1981835"/>
                    </a:xfrm>
                    <a:prstGeom prst="rect">
                      <a:avLst/>
                    </a:prstGeom>
                  </pic:spPr>
                </pic:pic>
              </a:graphicData>
            </a:graphic>
          </wp:inline>
        </w:drawing>
      </w:r>
    </w:p>
    <w:p>
      <w:pPr>
        <w:jc w:val="center"/>
        <w:rPr>
          <w:rFonts w:ascii="Times New Roman" w:hAnsi="Times New Roman" w:cs="Times New Roman"/>
          <w:bCs/>
          <w:sz w:val="24"/>
          <w:szCs w:val="24"/>
          <w:lang w:eastAsia="zh-Hans"/>
        </w:rPr>
      </w:pPr>
      <w:r>
        <w:rPr>
          <w:rFonts w:ascii="Times New Roman" w:hAnsi="Times New Roman" w:cs="Times New Roman"/>
          <w:bCs/>
          <w:sz w:val="24"/>
          <w:szCs w:val="24"/>
        </w:rPr>
        <w:t>Figure3.5: electric field orientation for two positive charges</w:t>
      </w:r>
    </w:p>
    <w:p>
      <w:pPr>
        <w:jc w:val="left"/>
        <w:rPr>
          <w:rFonts w:hint="default" w:ascii="Times New Roman" w:hAnsi="Times New Roman" w:cs="Times New Roman"/>
          <w:bCs/>
          <w:sz w:val="24"/>
          <w:szCs w:val="24"/>
          <w:lang w:eastAsia="zh-Hans"/>
        </w:rPr>
      </w:pPr>
      <w:r>
        <w:rPr>
          <w:rFonts w:ascii="Times New Roman" w:hAnsi="Times New Roman" w:cs="Times New Roman"/>
          <w:bCs/>
          <w:sz w:val="24"/>
          <w:szCs w:val="24"/>
        </w:rPr>
        <w:t xml:space="preserve">It is not the same cause the electric field of two positive particles will </w:t>
      </w:r>
      <w:r>
        <w:rPr>
          <w:rFonts w:hint="eastAsia" w:ascii="Times New Roman" w:hAnsi="Times New Roman" w:cs="Times New Roman"/>
          <w:bCs/>
          <w:sz w:val="24"/>
          <w:szCs w:val="24"/>
          <w:lang w:eastAsia="zh-Hans"/>
        </w:rPr>
        <w:t>repel</w:t>
      </w:r>
      <w:r>
        <w:rPr>
          <w:rFonts w:ascii="Times New Roman" w:hAnsi="Times New Roman" w:cs="Times New Roman"/>
          <w:bCs/>
          <w:sz w:val="24"/>
          <w:szCs w:val="24"/>
          <w:lang w:eastAsia="zh-Hans"/>
        </w:rPr>
        <w:t xml:space="preserve"> each other, which lead to the 0 E at the midpoint. The </w:t>
      </w:r>
      <w:r>
        <w:rPr>
          <w:rFonts w:ascii="Times New Roman" w:hAnsi="Times New Roman" w:cs="Times New Roman"/>
          <w:bCs/>
          <w:sz w:val="24"/>
          <w:szCs w:val="24"/>
        </w:rPr>
        <w:t>electric field is denser near the two particles especially at back to back side</w:t>
      </w:r>
      <w:r>
        <w:rPr>
          <w:rFonts w:hint="default" w:ascii="Times New Roman" w:hAnsi="Times New Roman" w:cs="Times New Roman"/>
          <w:bCs/>
          <w:sz w:val="24"/>
          <w:szCs w:val="24"/>
        </w:rPr>
        <w:t>.</w:t>
      </w:r>
    </w:p>
    <w:p>
      <w:pPr>
        <w:jc w:val="left"/>
        <w:rPr>
          <w:rFonts w:hint="default" w:ascii="Times New Roman" w:hAnsi="Times New Roman" w:cs="Times New Roman"/>
          <w:b/>
          <w:sz w:val="24"/>
          <w:szCs w:val="24"/>
        </w:rPr>
      </w:pPr>
      <w:r>
        <w:rPr>
          <w:rFonts w:ascii="Times New Roman" w:hAnsi="Times New Roman" w:cs="Times New Roman"/>
          <w:b/>
          <w:sz w:val="24"/>
          <w:szCs w:val="24"/>
        </w:rPr>
        <w:cr/>
      </w:r>
      <w:r>
        <w:rPr>
          <w:rFonts w:hint="default" w:ascii="Times New Roman" w:hAnsi="Times New Roman" w:cs="Times New Roman"/>
          <w:b/>
          <w:sz w:val="24"/>
          <w:szCs w:val="24"/>
        </w:rPr>
        <w:t>3.Conclusion</w:t>
      </w:r>
    </w:p>
    <w:p>
      <w:pPr>
        <w:jc w:val="left"/>
        <w:rPr>
          <w:rFonts w:hint="default" w:ascii="Times New Roman" w:hAnsi="Times New Roman" w:cs="Times New Roman"/>
          <w:bCs/>
          <w:sz w:val="24"/>
          <w:szCs w:val="24"/>
        </w:rPr>
      </w:pPr>
      <w:r>
        <w:rPr>
          <w:rFonts w:hint="default" w:ascii="Times New Roman" w:hAnsi="Times New Roman" w:cs="Times New Roman"/>
          <w:bCs/>
          <w:sz w:val="24"/>
          <w:szCs w:val="24"/>
        </w:rPr>
        <w:t>After doing this lab our students are more familiar with the flux distribution around a point charge and dipole. They originate from the charge point outwards when it has positive charge and point inwards when it has negative charge. The density of the flux is represented by E which is proportional with the charge and inversely proportional with the square of the distance.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FCB28"/>
    <w:multiLevelType w:val="singleLevel"/>
    <w:tmpl w:val="5CFFCB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7C"/>
    <w:rsid w:val="000936D9"/>
    <w:rsid w:val="000E6835"/>
    <w:rsid w:val="001C1C5A"/>
    <w:rsid w:val="003D3ED8"/>
    <w:rsid w:val="00420F1F"/>
    <w:rsid w:val="004B6982"/>
    <w:rsid w:val="004E7E98"/>
    <w:rsid w:val="00934041"/>
    <w:rsid w:val="00AD06BD"/>
    <w:rsid w:val="00B1167C"/>
    <w:rsid w:val="00BA3DAB"/>
    <w:rsid w:val="00BD5E5B"/>
    <w:rsid w:val="00BE3F79"/>
    <w:rsid w:val="00C025AB"/>
    <w:rsid w:val="00CF6B34"/>
    <w:rsid w:val="00E046EE"/>
    <w:rsid w:val="00F02D21"/>
    <w:rsid w:val="00F93FE9"/>
    <w:rsid w:val="2F7795E2"/>
    <w:rsid w:val="4FFBD436"/>
    <w:rsid w:val="5BFB3CE5"/>
    <w:rsid w:val="6793B93D"/>
    <w:rsid w:val="6E67FFBF"/>
    <w:rsid w:val="6ECB2C0D"/>
    <w:rsid w:val="6F67621C"/>
    <w:rsid w:val="6FDFA8D9"/>
    <w:rsid w:val="75EF3C18"/>
    <w:rsid w:val="7BFCC013"/>
    <w:rsid w:val="7C751E41"/>
    <w:rsid w:val="7DDEB36F"/>
    <w:rsid w:val="7F64B970"/>
    <w:rsid w:val="7F6FC1F3"/>
    <w:rsid w:val="7F79C2C1"/>
    <w:rsid w:val="7F7F8789"/>
    <w:rsid w:val="B2E91D39"/>
    <w:rsid w:val="B8FFB326"/>
    <w:rsid w:val="BFDFE07A"/>
    <w:rsid w:val="CF9F6548"/>
    <w:rsid w:val="CFFD22FC"/>
    <w:rsid w:val="DCEF62D9"/>
    <w:rsid w:val="E66FEF07"/>
    <w:rsid w:val="EEFB747D"/>
    <w:rsid w:val="EFEDB8B6"/>
    <w:rsid w:val="F4B5A45D"/>
    <w:rsid w:val="F73C7195"/>
    <w:rsid w:val="F9DF7B20"/>
    <w:rsid w:val="FC7F8969"/>
    <w:rsid w:val="FDD72872"/>
    <w:rsid w:val="FDED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rPr>
      <w:sz w:val="24"/>
    </w:r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 w:type="paragraph" w:customStyle="1" w:styleId="9">
    <w:name w:val="p1"/>
    <w:basedOn w:val="1"/>
    <w:uiPriority w:val="0"/>
    <w:pPr>
      <w:jc w:val="left"/>
    </w:pPr>
    <w:rPr>
      <w:rFonts w:ascii="Calibri" w:hAnsi="Calibri" w:eastAsia="Calibri" w:cs="Times New Roman"/>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370</Words>
  <Characters>2110</Characters>
  <Lines>17</Lines>
  <Paragraphs>4</Paragraphs>
  <TotalTime>95</TotalTime>
  <ScaleCrop>false</ScaleCrop>
  <LinksUpToDate>false</LinksUpToDate>
  <CharactersWithSpaces>2476</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2023-03-21T08:01:00Z</dcterms:created>
  <dc:creator>缀雪decsnow</dc:creator>
  <cp:lastModifiedBy>小马</cp:lastModifiedBy>
  <dcterms:modified xsi:type="dcterms:W3CDTF">2023-03-30T19:37:43Z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8727CA92A0259350DCAD2364191EA212_42</vt:lpwstr>
  </property>
</Properties>
</file>