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1A1A"/>
          <w:sz w:val="32"/>
        </w:rPr>
        <w:t>LoyaltyForge — Personalized Reward Journeys</w:t>
      </w:r>
    </w:p>
    <w:p>
      <w:pPr>
        <w:spacing w:after="10"/>
      </w:pPr>
      <w:r>
        <w:rPr>
          <w:color w:val="555555"/>
          <w:sz w:val="18"/>
        </w:rPr>
        <w:t>Project Summary Report  ·  NVIDIA Final-Project Submission (PS100)  ·  Agentic AI · Retail &amp; E-commerce</w:t>
      </w:r>
    </w:p>
    <w:p>
      <w:pPr>
        <w:spacing w:after="60"/>
      </w:pPr>
      <w:r>
        <w:rPr>
          <w:i/>
          <w:color w:val="555555"/>
          <w:sz w:val="16"/>
        </w:rPr>
        <w:t>Author: Priyanka M    |    Domain: Retail &amp; E-commerce    |    Stack: End-to-end NVIDIA NIM    |    Version 1.1</w:t>
      </w:r>
    </w:p>
    <w:p>
      <w:pPr>
        <w:spacing w:after="20"/>
      </w:pPr>
      <w:r>
        <w:rPr>
          <w:color w:val="76B900"/>
          <w:sz w:val="8"/>
        </w:rPr>
        <w:t>__________________________________________________________________________________________________________________________________</w:t>
      </w:r>
    </w:p>
    <w:p>
      <w:pPr>
        <w:spacing w:before="100" w:after="30"/>
      </w:pPr>
      <w:r>
        <w:rPr>
          <w:b/>
          <w:color w:val="76B900"/>
          <w:sz w:val="21"/>
        </w:rPr>
        <w:t>1 · Problem Statement &amp; Goal</w:t>
      </w:r>
    </w:p>
    <w:p>
      <w:r>
        <w:t>Retailers run generic, one-size-fits-all loyalty programs: every customer in a tier gets the same offers, producing irrelevant promotions, low redemption, and churn — and these blanket campaigns frequently ignore each customer's privacy and consent boundaries. The goal of LoyaltyForge is to replace that static rulebook with an autonomous agent that reasons about each customer individually and produces a tailored loyalty reward journey, while treating consent as a hard, non-negotiable constraint. The system runs end-to-end on the NVIDIA NIM stack — NVIDIA was both the platform requirement and the reasoning engine.</w:t>
      </w:r>
    </w:p>
    <w:p>
      <w:pPr>
        <w:spacing w:before="100" w:after="30"/>
      </w:pPr>
      <w:r>
        <w:rPr>
          <w:b/>
          <w:color w:val="76B900"/>
          <w:sz w:val="21"/>
        </w:rPr>
        <w:t>2 · Solution Overview — Three Agentic Behaviors</w:t>
      </w:r>
    </w:p>
    <w:p>
      <w:r>
        <w:t>Given a customer_id the agent reads purchase history, tier and points; checks consent BEFORE any personalization; retrieves applicable loyalty rules via RAG; and reasons over all of it to emit a structured, schema-validated journey. Three behaviors make it genuinely agentic rather than a single LLM call:</w:t>
      </w:r>
    </w:p>
    <w:p>
      <w:pPr>
        <w:pStyle w:val="ListBullet"/>
        <w:spacing w:after="30"/>
        <w:ind w:left="288"/>
      </w:pPr>
      <w:r>
        <w:rPr>
          <w:b/>
        </w:rPr>
        <w:t xml:space="preserve">Dynamic tool routing — </w:t>
      </w:r>
      <w:r>
        <w:t>LangGraph conditional edges classify each customer (new, lapsing, near a tier threshold, established) and route to a segment-specific rule path. Consent is the first gate.</w:t>
      </w:r>
    </w:p>
    <w:p>
      <w:pPr>
        <w:pStyle w:val="ListBullet"/>
        <w:spacing w:after="30"/>
        <w:ind w:left="288"/>
      </w:pPr>
      <w:r>
        <w:rPr>
          <w:b/>
        </w:rPr>
        <w:t xml:space="preserve">Multi-flag consent reasoning — </w:t>
      </w:r>
      <w:r>
        <w:t>personalization off → generic offer, stop. When on, it honors secondary flags: email_marketing off → no email channel; data_sharing off → first-party data only.</w:t>
      </w:r>
    </w:p>
    <w:p>
      <w:pPr>
        <w:pStyle w:val="ListBullet"/>
        <w:spacing w:after="30"/>
        <w:ind w:left="288"/>
      </w:pPr>
      <w:r>
        <w:rPr>
          <w:b/>
        </w:rPr>
        <w:t xml:space="preserve">Self-critique loop — </w:t>
      </w:r>
      <w:r>
        <w:t>a validation node checks reward grounding, consent compliance, and schema; on failure the agent revises and re-validates (≤2 retries) before finalizing.</w:t>
      </w:r>
    </w:p>
    <w:p>
      <w:pPr>
        <w:spacing w:before="100" w:after="30"/>
      </w:pPr>
      <w:r>
        <w:rPr>
          <w:b/>
          <w:color w:val="76B900"/>
          <w:sz w:val="21"/>
        </w:rPr>
        <w:t>3 · Architecture &amp; Agent Flow</w:t>
      </w:r>
    </w:p>
    <w:p>
      <w:r>
        <w:t>USER (React Studio / API) → CONSENT GATE (off → generic offer, STOP) → CLASSIFY + ROUTE (new / lapsing / near-threshold / established) → segment-specific rules via FAISS RAG (NIM embeddings) → DRAFT (NVIDIA NIM LLM, honoring consent) → VALIDATE ⇄ REVISE (grounding · consent · schema, ≤2 retries) → FINALIZE (Pydantic-enforced) → Journey JSON back to the Studio / Streamlit.</w:t>
      </w:r>
    </w:p>
    <w:p>
      <w:pPr>
        <w:spacing w:before="100" w:after="30"/>
      </w:pPr>
      <w:r>
        <w:rPr>
          <w:b/>
          <w:color w:val="76B900"/>
          <w:sz w:val="21"/>
        </w:rPr>
        <w:t>4 · Dataset &amp; Data Model</w:t>
      </w:r>
    </w:p>
    <w:p>
      <w:r>
        <w:t>All data sources share one schema (customer_id, name, persona, purchase_history [item, category, amount, date], consent_flags, loyalty_tier, points), so the agent runs on any of them unchanged via the CUSTOMERS_FILE env var. Loyalty rules live separately in data/loyalty_rules.md — the RAG source embedded into FAISS with NIM embeddings and retrieved per segment to ground rewards.</w:t>
      </w:r>
    </w:p>
    <w:p>
      <w:pPr>
        <w:pStyle w:val="ListBullet"/>
        <w:spacing w:after="30"/>
        <w:ind w:left="288"/>
      </w:pPr>
      <w:r>
        <w:rPr>
          <w:b/>
        </w:rPr>
        <w:t xml:space="preserve">Curated demo set (default) — </w:t>
      </w:r>
      <w:r>
        <w:t>data/customers.json: 5 hand-built customers chosen to exercise every path — C001 Asha (silver, data_sharing off), C002 Rahul (gold, all consent on), C003 Meera (bronze, new, email off), C004 Vikram (personalization OFF → hard consent-gate case, no LLM call), C005 Sofia (platinum, broad/established). Small by design: enough to demo all behaviors deterministically.</w:t>
      </w:r>
    </w:p>
    <w:p>
      <w:pPr>
        <w:pStyle w:val="ListBullet"/>
        <w:spacing w:after="30"/>
        <w:ind w:left="288"/>
      </w:pPr>
      <w:r>
        <w:rPr>
          <w:b/>
        </w:rPr>
        <w:t xml:space="preserve">Real-world scale-up — </w:t>
      </w:r>
      <w:r>
        <w:t>Kaggle “Customer Personality Analysis” (imakash3011, marketing_campaign.csv, ~2,240 rows, one row per customer) — picked over UCI Online Retail II for cleaner fit (already per-customer). Ingestion script maps Mnt* category spend → purchase_history; synthesizes points/tier from total spend (Bronze 0 / Silver 250 / Gold 500 / Platinum 1000) and persona from demographics. Two fields are synthesized (no dataset has them): anonymized name and consent_flags.personalization (deterministic, so some members stay consent-off for the demo).</w:t>
      </w:r>
    </w:p>
    <w:p>
      <w:pPr>
        <w:pStyle w:val="ListBullet"/>
        <w:spacing w:after="30"/>
        <w:ind w:left="288"/>
      </w:pPr>
      <w:r>
        <w:rPr>
          <w:b/>
        </w:rPr>
        <w:t xml:space="preserve">Synthetic generator — </w:t>
      </w:r>
      <w:r>
        <w:t>scripts/generate_customers.py --count N produces arbitrary-size sets; a 200-row data/customers_large.json was used to prove scaling. The curated 5 remain the default.</w:t>
      </w:r>
    </w:p>
    <w:p>
      <w:pPr>
        <w:spacing w:before="100" w:after="30"/>
      </w:pPr>
      <w:r>
        <w:rPr>
          <w:b/>
          <w:color w:val="76B900"/>
          <w:sz w:val="21"/>
        </w:rPr>
        <w:t>5 · Key Design Choices &amp; Rationale</w:t>
      </w:r>
    </w:p>
    <w:p>
      <w:pPr>
        <w:pStyle w:val="ListBullet"/>
        <w:spacing w:after="30"/>
        <w:ind w:left="288"/>
      </w:pPr>
      <w:r>
        <w:rPr>
          <w:b/>
        </w:rPr>
        <w:t xml:space="preserve">NVIDIA NIM (LLM + embeddings) — </w:t>
      </w:r>
      <w:r>
        <w:t>meta/llama-3.1-70b-instruct + nvidia/nv-embedqa-e5-v5, keeping the stack fully NVIDIA (the core requirement) rather than mixing providers.</w:t>
      </w:r>
    </w:p>
    <w:p>
      <w:pPr>
        <w:pStyle w:val="ListBullet"/>
        <w:spacing w:after="30"/>
        <w:ind w:left="288"/>
      </w:pPr>
      <w:r>
        <w:rPr>
          <w:b/>
        </w:rPr>
        <w:t xml:space="preserve">LangGraph / LangChain — </w:t>
      </w:r>
      <w:r>
        <w:t>real dynamic routing via conditional edges and a clean home for the validate→revise loop.</w:t>
      </w:r>
    </w:p>
    <w:p>
      <w:pPr>
        <w:pStyle w:val="ListBullet"/>
        <w:spacing w:after="30"/>
        <w:ind w:left="288"/>
      </w:pPr>
      <w:r>
        <w:rPr>
          <w:b/>
        </w:rPr>
        <w:t xml:space="preserve">FAISS + Pydantic — </w:t>
      </w:r>
      <w:r>
        <w:t>lightweight in-process RAG grounds rewards in the rules doc; Pydantic schema-validates the whole response so the UI/API always get valid JSON.</w:t>
      </w:r>
    </w:p>
    <w:p>
      <w:pPr>
        <w:pStyle w:val="ListBullet"/>
        <w:spacing w:after="30"/>
        <w:ind w:left="288"/>
      </w:pPr>
      <w:r>
        <w:rPr>
          <w:b/>
        </w:rPr>
        <w:t xml:space="preserve">Consent-first hard gate — </w:t>
      </w:r>
      <w:r>
        <w:t>a consent-off customer is handled deterministically and never even calls the LLM — the headline differentiator and a responsible-AI choice.</w:t>
      </w:r>
    </w:p>
    <w:p>
      <w:pPr>
        <w:pStyle w:val="ListBullet"/>
        <w:spacing w:after="30"/>
        <w:ind w:left="288"/>
      </w:pPr>
      <w:r>
        <w:rPr>
          <w:b/>
        </w:rPr>
        <w:t xml:space="preserve">FastAPI + React “Customer Journey Studio” — </w:t>
      </w:r>
      <w:r>
        <w:t>POST /generate-journey, GET /customers, GET /health; the premium React/Vite/Tailwind Studio is the primary demo, with Streamlit as a simple backup.</w:t>
      </w:r>
    </w:p>
    <w:p>
      <w:pPr>
        <w:pStyle w:val="ListBullet"/>
        <w:spacing w:after="30"/>
        <w:ind w:left="288"/>
      </w:pPr>
      <w:r>
        <w:rPr>
          <w:b/>
        </w:rPr>
        <w:t xml:space="preserve">Honest, derived metrics — </w:t>
      </w:r>
      <w:r>
        <w:t>Studio “Loyalty DNA” and “Business Impact” numbers are computed deterministically from real data and labelled “estimate”; only the journey itself comes from the agent.</w:t>
      </w:r>
    </w:p>
    <w:p>
      <w:pPr>
        <w:spacing w:before="100" w:after="30"/>
      </w:pPr>
      <w:r>
        <w:rPr>
          <w:b/>
          <w:color w:val="76B900"/>
          <w:sz w:val="21"/>
        </w:rPr>
        <w:t>6 · Technology Stack</w:t>
      </w:r>
    </w:p>
    <w:tbl>
      <w:tblPr>
        <w:tblStyle w:val="LightGrid-Accent1"/>
        <w:tblW w:type="auto" w:w="0"/>
        <w:tblLook w:firstColumn="1" w:firstRow="1" w:lastColumn="0" w:lastRow="0" w:noHBand="0" w:noVBand="1" w:val="04A0"/>
      </w:tblPr>
      <w:tblGrid>
        <w:gridCol w:w="5256"/>
        <w:gridCol w:w="5256"/>
      </w:tblGrid>
      <w:tr>
        <w:tc>
          <w:tcPr>
            <w:tcW w:type="dxa" w:w="5256"/>
          </w:tcPr>
          <w:p>
            <w:pPr>
              <w:spacing w:after="0" w:before="0"/>
            </w:pPr>
            <w:r>
              <w:rPr>
                <w:b/>
              </w:rPr>
              <w:t>Layer</w:t>
            </w:r>
          </w:p>
        </w:tc>
        <w:tc>
          <w:tcPr>
            <w:tcW w:type="dxa" w:w="5256"/>
          </w:tcPr>
          <w:p>
            <w:pPr>
              <w:spacing w:after="0" w:before="0"/>
            </w:pPr>
            <w:r>
              <w:rPr>
                <w:b/>
              </w:rPr>
              <w:t>Technology</w:t>
            </w:r>
          </w:p>
        </w:tc>
      </w:tr>
      <w:tr>
        <w:tc>
          <w:tcPr>
            <w:tcW w:type="dxa" w:w="5256"/>
          </w:tcPr>
          <w:p>
            <w:pPr>
              <w:spacing w:after="0" w:before="0"/>
            </w:pPr>
            <w:r>
              <w:rPr>
                <w:b/>
                <w:sz w:val="16"/>
              </w:rPr>
              <w:t>LLM / Embeddings</w:t>
            </w:r>
          </w:p>
        </w:tc>
        <w:tc>
          <w:tcPr>
            <w:tcW w:type="dxa" w:w="5256"/>
          </w:tcPr>
          <w:p>
            <w:pPr>
              <w:spacing w:after="0" w:before="0"/>
            </w:pPr>
            <w:r>
              <w:rPr>
                <w:sz w:val="16"/>
              </w:rPr>
              <w:t>NVIDIA NIM — meta/llama-3.1-70b-instruct / nvidia/nv-embedqa-e5-v5</w:t>
            </w:r>
          </w:p>
        </w:tc>
      </w:tr>
      <w:tr>
        <w:tc>
          <w:tcPr>
            <w:tcW w:type="dxa" w:w="5256"/>
          </w:tcPr>
          <w:p>
            <w:pPr>
              <w:spacing w:after="0" w:before="0"/>
            </w:pPr>
            <w:r>
              <w:rPr>
                <w:b/>
                <w:sz w:val="16"/>
              </w:rPr>
              <w:t>Agent framework / Schema</w:t>
            </w:r>
          </w:p>
        </w:tc>
        <w:tc>
          <w:tcPr>
            <w:tcW w:type="dxa" w:w="5256"/>
          </w:tcPr>
          <w:p>
            <w:pPr>
              <w:spacing w:after="0" w:before="0"/>
            </w:pPr>
            <w:r>
              <w:rPr>
                <w:sz w:val="16"/>
              </w:rPr>
              <w:t>LangGraph + LangChain / Pydantic</w:t>
            </w:r>
          </w:p>
        </w:tc>
      </w:tr>
      <w:tr>
        <w:tc>
          <w:tcPr>
            <w:tcW w:type="dxa" w:w="5256"/>
          </w:tcPr>
          <w:p>
            <w:pPr>
              <w:spacing w:after="0" w:before="0"/>
            </w:pPr>
            <w:r>
              <w:rPr>
                <w:b/>
                <w:sz w:val="16"/>
              </w:rPr>
              <w:t>Vector store / Backend</w:t>
            </w:r>
          </w:p>
        </w:tc>
        <w:tc>
          <w:tcPr>
            <w:tcW w:type="dxa" w:w="5256"/>
          </w:tcPr>
          <w:p>
            <w:pPr>
              <w:spacing w:after="0" w:before="0"/>
            </w:pPr>
            <w:r>
              <w:rPr>
                <w:sz w:val="16"/>
              </w:rPr>
              <w:t>FAISS (faiss-cpu) / FastAPI + Uvicorn</w:t>
            </w:r>
          </w:p>
        </w:tc>
      </w:tr>
      <w:tr>
        <w:tc>
          <w:tcPr>
            <w:tcW w:type="dxa" w:w="5256"/>
          </w:tcPr>
          <w:p>
            <w:pPr>
              <w:spacing w:after="0" w:before="0"/>
            </w:pPr>
            <w:r>
              <w:rPr>
                <w:b/>
                <w:sz w:val="16"/>
              </w:rPr>
              <w:t>Studio UI / Backup UI</w:t>
            </w:r>
          </w:p>
        </w:tc>
        <w:tc>
          <w:tcPr>
            <w:tcW w:type="dxa" w:w="5256"/>
          </w:tcPr>
          <w:p>
            <w:pPr>
              <w:spacing w:after="0" w:before="0"/>
            </w:pPr>
            <w:r>
              <w:rPr>
                <w:sz w:val="16"/>
              </w:rPr>
              <w:t>React + Vite + Tailwind / Streamlit</w:t>
            </w:r>
          </w:p>
        </w:tc>
      </w:tr>
      <w:tr>
        <w:tc>
          <w:tcPr>
            <w:tcW w:type="dxa" w:w="5256"/>
          </w:tcPr>
          <w:p>
            <w:pPr>
              <w:spacing w:after="0" w:before="0"/>
            </w:pPr>
            <w:r>
              <w:rPr>
                <w:b/>
                <w:sz w:val="16"/>
              </w:rPr>
              <w:t>Data / Language</w:t>
            </w:r>
          </w:p>
        </w:tc>
        <w:tc>
          <w:tcPr>
            <w:tcW w:type="dxa" w:w="5256"/>
          </w:tcPr>
          <w:p>
            <w:pPr>
              <w:spacing w:after="0" w:before="0"/>
            </w:pPr>
            <w:r>
              <w:rPr>
                <w:sz w:val="16"/>
              </w:rPr>
              <w:t>JSON + Markdown (swappable via CUSTOMERS_FILE) / Python 3.10+ &amp; TypeScript</w:t>
            </w:r>
          </w:p>
        </w:tc>
      </w:tr>
    </w:tbl>
    <w:p>
      <w:pPr>
        <w:spacing w:before="100" w:after="30"/>
      </w:pPr>
      <w:r>
        <w:rPr>
          <w:b/>
          <w:color w:val="76B900"/>
          <w:sz w:val="21"/>
        </w:rPr>
        <w:t>7 · Testing &amp; Reliability</w:t>
      </w:r>
    </w:p>
    <w:p>
      <w:r>
        <w:t>The agent's safety-critical logic is covered by 17 offline pytest tests (all green). The NVIDIA LLM and RAG retrieval are mocked, so the suite is fast, deterministic, and needs no API key or network — its job is to catch regressions in the guardrails. It covers consent gating (consent-off → generic offer only), segment routing (correct new/lapsing/near-threshold/established classification), multi-flag consent constraints (email and data-sharing restrictions), and the self-critique loop (validator flags ungrounded rewards, consent violations, and schema errors; the agent revises before finalizing). The tests verify deterministic guardrails and schema — not the LLM's wording.</w:t>
      </w:r>
    </w:p>
    <w:p>
      <w:pPr>
        <w:spacing w:before="100" w:after="30"/>
      </w:pPr>
      <w:r>
        <w:rPr>
          <w:b/>
          <w:color w:val="76B900"/>
          <w:sz w:val="21"/>
        </w:rPr>
        <w:t>8 · Status, Scope &amp; Next Steps</w:t>
      </w:r>
    </w:p>
    <w:p>
      <w:pPr>
        <w:pStyle w:val="ListBullet"/>
        <w:spacing w:after="30"/>
        <w:ind w:left="288"/>
      </w:pPr>
      <w:r>
        <w:rPr>
          <w:b/>
        </w:rPr>
        <w:t xml:space="preserve">Done — </w:t>
      </w:r>
      <w:r>
        <w:t>consent-gated NVIDIA agent with all three behaviors, React Studio wired to FastAPI, 17 passing offline tests, fully updated PRD + README; pushed to a private GitHub repo (main, in sync).</w:t>
      </w:r>
    </w:p>
    <w:p>
      <w:pPr>
        <w:pStyle w:val="ListBullet"/>
        <w:spacing w:after="30"/>
        <w:ind w:left="288"/>
      </w:pPr>
      <w:r>
        <w:rPr>
          <w:b/>
        </w:rPr>
        <w:t xml:space="preserve">Out of scope (this version) — </w:t>
      </w:r>
      <w:r>
        <w:t>production database, payment/rewards fulfillment, user auth, A/B-testing pipelines — mock JSON data is sufficient for the MVP.</w:t>
      </w:r>
    </w:p>
    <w:p>
      <w:pPr>
        <w:pStyle w:val="ListBullet"/>
        <w:spacing w:after="30"/>
        <w:ind w:left="288"/>
      </w:pPr>
      <w:r>
        <w:rPr>
          <w:b/>
        </w:rPr>
        <w:t xml:space="preserve">Open items — </w:t>
      </w:r>
      <w:r>
        <w:t>record the demo video / screenshots (only remaining PRD deliverable); optional Kaggle scale-up (pipeline built, awaiting the CSV); optionally surface segment/validation_passed/consent_notes in the UI.</w:t>
      </w:r>
    </w:p>
    <w:p>
      <w:pPr>
        <w:pStyle w:val="ListBullet"/>
        <w:spacing w:after="30"/>
        <w:ind w:left="288"/>
      </w:pPr>
      <w:r>
        <w:rPr>
          <w:b/>
        </w:rPr>
        <w:t xml:space="preserve">Future — </w:t>
      </w:r>
      <w:r>
        <w:t>Postgres + live transaction feeds, multi-agent split, reward fulfillment, redemption-rate feedback loop, multilingual messages.</w:t>
      </w:r>
    </w:p>
    <w:p>
      <w:pPr>
        <w:spacing w:before="60"/>
      </w:pPr>
      <w:r>
        <w:rPr>
          <w:i/>
          <w:color w:val="555555"/>
          <w:sz w:val="16"/>
        </w:rPr>
        <w:t>Success criteria (target 100% / Yes): a valid journey for every customer; a consent-off customer never receives personalized offers (hard requirement); valid JSON matching the Pydantic schema; the full test suite passes; the end-to-end demo runs without crashing; the README lets a stranger set it up.</w:t>
      </w:r>
    </w:p>
    <w:sectPr w:rsidR="00FC693F" w:rsidRPr="0006063C" w:rsidSect="00034616">
      <w:pgSz w:w="12240" w:h="15840"/>
      <w:pgMar w:top="648"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Calibri" w:hAnsi="Calibri"/>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