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DIAGRAMAS DE ACTIVIDAD</w:t>
      </w:r>
    </w:p>
    <w:p>
      <w:pPr>
        <w:spacing w:after="100" w:before="1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E-Match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Documento de Diseño — Proyecto APT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1. Introducción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Este documento presenta los diagramas de actividad UML de los procesos más relevantes del sistema E-Match: el flujo de diagnóstico y recomendación del emprendedor (dividido en dos diagramas complementarios por su extensión), la generación del informe de Business Model Canvas con su mecanismo de respaldo ante fallos de la inteligencia artificial, y la incorporación manual de agencias al catálogo de mediación. Cada diagrama refleja las reglas de negocio y las decisiones de arquitectura ya documentadas para el proyecto.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2. Diagnóstico y recomendación del emprendedor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Corresponde a los requisitos RF-01, RF-07, RF-08, RF-09, RF-10, RF-11, RF-12, RF-13 y RF-25. Por su extensión, este proceso se documenta en dos diagramas complementarios.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2.1 Diagnóstico y cálculo de la recomendación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Muestra la primera bifurcación de decisión: si el puntaje del motor de scoring supera el umbral mínimo para recomendar una plataforma formal, o si se activa la alternativa de canal informal (RF-25).</w:t>
      </w:r>
    </w:p>
    <w:p>
      <w:pPr>
        <w:spacing w:after="240"/>
        <w:jc w:val="center"/>
      </w:pPr>
      <w:r>
        <w:drawing>
          <wp:inline distT="0" distB="0" distL="0" distR="0">
            <wp:extent cx="2762250" cy="761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761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2.2 Selección de la ruta de conversión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Continúa el proceso anterior desde que el emprendedor visualiza el resultado completo, mostrando la segunda bifurcación de decisión: autogestión mediante enlace de afiliado, o conexión con una agencia sugerida.</w:t>
      </w:r>
    </w:p>
    <w:p>
      <w:pPr>
        <w:spacing w:after="240"/>
        <w:jc w:val="center"/>
      </w:pPr>
      <w:r>
        <w:drawing>
          <wp:inline distT="0" distB="0" distL="0" distR="0">
            <wp:extent cx="4000500" cy="545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3. Generación del informe de Canvas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Corresponde a los requisitos RF-02 y RF-04. El proceso ilustra el mecanismo de confinamiento y respaldo de la inteligencia artificial generativa: la IA solo redacta a partir de datos ya estructurados, con una salida forzada a un formato JSON; si esa salida no cumple el formato esperado, el sistema recurre automáticamente a una plantilla de respaldo por rubro, garantizando que el emprendedor siempre reciba un informe utilizable.</w:t>
      </w:r>
    </w:p>
    <w:p>
      <w:pPr>
        <w:spacing w:after="240"/>
        <w:jc w:val="center"/>
      </w:pPr>
      <w:r>
        <w:drawing>
          <wp:inline distT="0" distB="0" distL="0" distR="0">
            <wp:extent cx="3238500" cy="7515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751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sz w:val="21"/>
          <w:szCs w:val="21"/>
        </w:rPr>
        <w:t xml:space="preserve">Este mecanismo es la salvaguarda técnica central frente al riesgo de inestabilidad de la IA generativa identificado durante la revisión cruzada del diseño del equipo.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4. Incorporación manual de agencias al catálogo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i w:val="false"/>
          <w:iCs w:val="false"/>
          <w:sz w:val="22"/>
          <w:szCs w:val="22"/>
        </w:rPr>
        <w:t xml:space="preserve">Corresponde al modelo de curación manual definido para el MVP (RF-19), en reemplazo del flujo de postulación pública (RF-27 a RF-31), que queda fuera del alcance de esta fase. El proceso documenta explícitamente el paso de validación de consentimiento y de correspondencia entre el portafolio de la agencia y la categoría de servicio declarada, como salvaguarda de confiabilidad del catálogo.</w:t>
      </w:r>
    </w:p>
    <w:p>
      <w:pPr>
        <w:spacing w:after="240"/>
        <w:jc w:val="center"/>
      </w:pPr>
      <w:r>
        <w:drawing>
          <wp:inline distT="0" distB="0" distL="0" distR="0">
            <wp:extent cx="3048000" cy="796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79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sz w:val="21"/>
          <w:szCs w:val="21"/>
        </w:rPr>
        <w:t xml:space="preserve">Este proceso reemplaza, en el MVP, a las Historias de Usuario HU-29 a HU-32 (postulación pública), documentadas como evolución futura del proyecto.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f01db3fdd7c517516289411482d99c3d721042c.png"/><Relationship Id="rId9" Type="http://schemas.openxmlformats.org/officeDocument/2006/relationships/image" Target="media/c99c5f400041d13b927151a6a10abafaa46b0d85.png"/><Relationship Id="rId10" Type="http://schemas.openxmlformats.org/officeDocument/2006/relationships/image" Target="media/3da1f8f7eaccdf588a27ff71e50951ba08c8f599.png"/><Relationship Id="rId11" Type="http://schemas.openxmlformats.org/officeDocument/2006/relationships/image" Target="media/d6efbccb91f2d88042250c965796e5107454201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2026-09-12T11:29:54.527Z</dcterms:created>
  <dcterms:modified xsi:type="dcterms:W3CDTF">2026-09-12T11:29:54.538Z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