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F3864"/>
          <w:sz w:val="32"/>
          <w:szCs w:val="32"/>
        </w:rPr>
        <w:t xml:space="preserve">PLAN DE PROYECTO</w:t>
      </w:r>
    </w:p>
    <w:p>
      <w:pPr>
        <w:spacing w:after="100" w:before="100"/>
        <w:jc w:val="center"/>
      </w:pPr>
      <w:r>
        <w:rPr>
          <w:rFonts w:ascii="Calibri" w:cs="Calibri" w:eastAsia="Calibri" w:hAnsi="Calibri"/>
          <w:b/>
          <w:bCs/>
          <w:sz w:val="28"/>
          <w:szCs w:val="28"/>
        </w:rPr>
        <w:t xml:space="preserve">E-Match</w:t>
      </w:r>
    </w:p>
    <w:p>
      <w:pPr>
        <w:spacing w:after="400"/>
        <w:jc w:val="center"/>
      </w:pPr>
      <w:r>
        <w:rPr>
          <w:rFonts w:ascii="Calibri" w:cs="Calibri" w:eastAsia="Calibri" w:hAnsi="Calibri"/>
          <w:i/>
          <w:iCs/>
          <w:color w:val="595959"/>
          <w:sz w:val="22"/>
          <w:szCs w:val="22"/>
        </w:rPr>
        <w:t xml:space="preserve">Documento de Gestión — Proyecto APT</w:t>
      </w:r>
    </w:p>
    <w:p>
      <w:pPr>
        <w:pStyle w:val="Heading1"/>
        <w:spacing w:after="200" w:before="360"/>
      </w:pPr>
      <w:r>
        <w:rPr>
          <w:rFonts w:ascii="Calibri" w:cs="Calibri" w:eastAsia="Calibri" w:hAnsi="Calibri"/>
          <w:b/>
          <w:bCs/>
          <w:color w:val="000000"/>
          <w:sz w:val="28"/>
          <w:szCs w:val="28"/>
        </w:rPr>
        <w:t xml:space="preserve">1. Introducción y alcance del proyecto</w:t>
      </w:r>
    </w:p>
    <w:p>
      <w:pPr>
        <w:spacing w:after="160" w:line="276"/>
        <w:jc w:val="both"/>
      </w:pPr>
      <w:r>
        <w:rPr>
          <w:rFonts w:ascii="Calibri" w:cs="Calibri" w:eastAsia="Calibri" w:hAnsi="Calibri"/>
          <w:b w:val="false"/>
          <w:bCs w:val="false"/>
          <w:i w:val="false"/>
          <w:iCs w:val="false"/>
          <w:sz w:val="22"/>
          <w:szCs w:val="22"/>
        </w:rPr>
        <w:t xml:space="preserve">E-Match es un portal web que diagnostica el negocio de un emprendedor y entrega, en un solo recorrido, una recomendación personalizada y sin sesgo comercial de qué plataforma de e-commerce y qué transportista usar, junto con el costo real estimado de esa configuración. El proyecto responde a la falta de asesoría accesible que enfrentan los microemprendedores chilenos al momento de decidir cómo vender por internet, problemática respaldada por cifras oficiales del Instituto Nacional de Estadísticas y de la Cámara de Comercio de Santiago.</w:t>
      </w:r>
    </w:p>
    <w:p>
      <w:pPr>
        <w:spacing w:after="160" w:line="276"/>
        <w:jc w:val="both"/>
      </w:pPr>
      <w:r>
        <w:rPr>
          <w:rFonts w:ascii="Calibri" w:cs="Calibri" w:eastAsia="Calibri" w:hAnsi="Calibri"/>
          <w:b w:val="false"/>
          <w:bCs w:val="false"/>
          <w:i w:val="false"/>
          <w:iCs w:val="false"/>
          <w:sz w:val="22"/>
          <w:szCs w:val="22"/>
        </w:rPr>
        <w:t xml:space="preserve">Este documento presenta el plan de proyecto de E-Match, elaborado en base a la metodología de desarrollo incremental adoptada por el equipo, e integra el cronograma de desarrollo, la asignación de responsabilidades, el alcance funcional priorizado, las herramientas tecnológicas y la gestión de riesgos del proyecto.</w:t>
      </w:r>
    </w:p>
    <w:p>
      <w:pPr>
        <w:pStyle w:val="Heading1"/>
        <w:spacing w:after="200" w:before="360"/>
      </w:pPr>
      <w:r>
        <w:rPr>
          <w:rFonts w:ascii="Calibri" w:cs="Calibri" w:eastAsia="Calibri" w:hAnsi="Calibri"/>
          <w:b/>
          <w:bCs/>
          <w:color w:val="000000"/>
          <w:sz w:val="28"/>
          <w:szCs w:val="28"/>
        </w:rPr>
        <w:t xml:space="preserve">2. Objetivos</w:t>
      </w:r>
    </w:p>
    <w:p>
      <w:pPr>
        <w:pStyle w:val="Heading2"/>
        <w:spacing w:after="140" w:before="260"/>
      </w:pPr>
      <w:r>
        <w:rPr>
          <w:rFonts w:ascii="Calibri" w:cs="Calibri" w:eastAsia="Calibri" w:hAnsi="Calibri"/>
          <w:b/>
          <w:bCs/>
          <w:color w:val="000000"/>
          <w:sz w:val="24"/>
          <w:szCs w:val="24"/>
        </w:rPr>
        <w:t xml:space="preserve">2.1 Objetivo general</w:t>
      </w:r>
    </w:p>
    <w:p>
      <w:pPr>
        <w:spacing w:after="160" w:line="276"/>
        <w:jc w:val="both"/>
      </w:pPr>
      <w:r>
        <w:rPr>
          <w:rFonts w:ascii="Calibri" w:cs="Calibri" w:eastAsia="Calibri" w:hAnsi="Calibri"/>
          <w:b w:val="false"/>
          <w:bCs w:val="false"/>
          <w:i w:val="false"/>
          <w:iCs w:val="false"/>
          <w:sz w:val="22"/>
          <w:szCs w:val="22"/>
        </w:rPr>
        <w:t xml:space="preserve">Desarrollar un portal web (E-Match) que, mediante diagnóstico conversacional con inteligencia artificial generativa, recomiende a microemprendedores chilenos la plataforma de e-commerce y el canal de venta más adecuados a su modelo de negocio, junto con una estimación de costos de implementación y envío.</w:t>
      </w:r>
    </w:p>
    <w:p>
      <w:pPr>
        <w:pStyle w:val="Heading2"/>
        <w:spacing w:after="140" w:before="260"/>
      </w:pPr>
      <w:r>
        <w:rPr>
          <w:rFonts w:ascii="Calibri" w:cs="Calibri" w:eastAsia="Calibri" w:hAnsi="Calibri"/>
          <w:b/>
          <w:bCs/>
          <w:color w:val="000000"/>
          <w:sz w:val="24"/>
          <w:szCs w:val="24"/>
        </w:rPr>
        <w:t xml:space="preserve">2.2 Objetivos específicos</w:t>
      </w:r>
    </w:p>
    <w:p>
      <w:pPr>
        <w:pStyle w:val="ListParagraph"/>
        <w:numPr>
          <w:ilvl w:val="0"/>
          <w:numId w:val="1"/>
        </w:numPr>
        <w:spacing w:after="100" w:line="276"/>
      </w:pPr>
      <w:r>
        <w:rPr>
          <w:rFonts w:ascii="Calibri" w:cs="Calibri" w:eastAsia="Calibri" w:hAnsi="Calibri"/>
          <w:sz w:val="22"/>
          <w:szCs w:val="22"/>
        </w:rPr>
        <w:t xml:space="preserve">Diseñar un modelo de datos escalable que soporte diagnósticos de negocio, informes de Canvas, catálogo de plataformas de e-commerce, tarifas de envío y transacciones de afiliado.</w:t>
      </w:r>
    </w:p>
    <w:p>
      <w:pPr>
        <w:pStyle w:val="ListParagraph"/>
        <w:numPr>
          <w:ilvl w:val="0"/>
          <w:numId w:val="1"/>
        </w:numPr>
        <w:spacing w:after="100" w:line="276"/>
      </w:pPr>
      <w:r>
        <w:rPr>
          <w:rFonts w:ascii="Calibri" w:cs="Calibri" w:eastAsia="Calibri" w:hAnsi="Calibri"/>
          <w:sz w:val="22"/>
          <w:szCs w:val="22"/>
        </w:rPr>
        <w:t xml:space="preserve">Implementar un módulo de diagnóstico conversacional basado en inteligencia artificial generativa que extraiga las características relevantes del negocio del emprendedor.</w:t>
      </w:r>
    </w:p>
    <w:p>
      <w:pPr>
        <w:pStyle w:val="ListParagraph"/>
        <w:numPr>
          <w:ilvl w:val="0"/>
          <w:numId w:val="1"/>
        </w:numPr>
        <w:spacing w:after="100" w:line="276"/>
      </w:pPr>
      <w:r>
        <w:rPr>
          <w:rFonts w:ascii="Calibri" w:cs="Calibri" w:eastAsia="Calibri" w:hAnsi="Calibri"/>
          <w:sz w:val="22"/>
          <w:szCs w:val="22"/>
        </w:rPr>
        <w:t xml:space="preserve">Generar de forma automática un informe narrativo de Business Model Canvas editable a partir de la información recopilada en el diagnóstico.</w:t>
      </w:r>
    </w:p>
    <w:p>
      <w:pPr>
        <w:pStyle w:val="ListParagraph"/>
        <w:numPr>
          <w:ilvl w:val="0"/>
          <w:numId w:val="1"/>
        </w:numPr>
        <w:spacing w:after="100" w:line="276"/>
      </w:pPr>
      <w:r>
        <w:rPr>
          <w:rFonts w:ascii="Calibri" w:cs="Calibri" w:eastAsia="Calibri" w:hAnsi="Calibri"/>
          <w:sz w:val="22"/>
          <w:szCs w:val="22"/>
        </w:rPr>
        <w:t xml:space="preserve">Construir un motor de recomendación genérico basado en scoring ponderado, aplicado a plataformas de e-commerce, transportistas y agencias.</w:t>
      </w:r>
    </w:p>
    <w:p>
      <w:pPr>
        <w:pStyle w:val="ListParagraph"/>
        <w:numPr>
          <w:ilvl w:val="0"/>
          <w:numId w:val="1"/>
        </w:numPr>
        <w:spacing w:after="100" w:line="276"/>
      </w:pPr>
      <w:r>
        <w:rPr>
          <w:rFonts w:ascii="Calibri" w:cs="Calibri" w:eastAsia="Calibri" w:hAnsi="Calibri"/>
          <w:sz w:val="22"/>
          <w:szCs w:val="22"/>
        </w:rPr>
        <w:t xml:space="preserve">Integrar una calculadora de costos que combine comisiones de plataforma con cotización de envío basada en un tarifario propio.</w:t>
      </w:r>
    </w:p>
    <w:p>
      <w:pPr>
        <w:pStyle w:val="ListParagraph"/>
        <w:numPr>
          <w:ilvl w:val="0"/>
          <w:numId w:val="1"/>
        </w:numPr>
        <w:spacing w:after="100" w:line="276"/>
      </w:pPr>
      <w:r>
        <w:rPr>
          <w:rFonts w:ascii="Calibri" w:cs="Calibri" w:eastAsia="Calibri" w:hAnsi="Calibri"/>
          <w:sz w:val="22"/>
          <w:szCs w:val="22"/>
        </w:rPr>
        <w:t xml:space="preserve">Habilitar rutas de conversión mediante enlaces de afiliado y conexión con agencias de desarrollo o asesoría de venta social.</w:t>
      </w:r>
    </w:p>
    <w:p>
      <w:pPr>
        <w:pStyle w:val="ListParagraph"/>
        <w:numPr>
          <w:ilvl w:val="0"/>
          <w:numId w:val="1"/>
        </w:numPr>
        <w:spacing w:after="100" w:line="276"/>
      </w:pPr>
      <w:r>
        <w:rPr>
          <w:rFonts w:ascii="Calibri" w:cs="Calibri" w:eastAsia="Calibri" w:hAnsi="Calibri"/>
          <w:sz w:val="22"/>
          <w:szCs w:val="22"/>
        </w:rPr>
        <w:t xml:space="preserve">Implementar un panel administrativo con gestión de plataformas, tarifas, reglas de recomendación y catálogo de agencias.</w:t>
      </w:r>
    </w:p>
    <w:p>
      <w:pPr>
        <w:pStyle w:val="ListParagraph"/>
        <w:numPr>
          <w:ilvl w:val="0"/>
          <w:numId w:val="1"/>
        </w:numPr>
        <w:spacing w:after="100" w:line="276"/>
      </w:pPr>
      <w:r>
        <w:rPr>
          <w:rFonts w:ascii="Calibri" w:cs="Calibri" w:eastAsia="Calibri" w:hAnsi="Calibri"/>
          <w:sz w:val="22"/>
          <w:szCs w:val="22"/>
        </w:rPr>
        <w:t xml:space="preserve">Validar el funcionamiento del sistema mediante un piloto aplicado al caso real de Encanto de Cera (en lo adelante identificado como ECer).</w:t>
      </w:r>
    </w:p>
    <w:p>
      <w:r>
        <w:br w:type="page"/>
      </w:r>
    </w:p>
    <w:p>
      <w:pPr>
        <w:pStyle w:val="Heading1"/>
        <w:spacing w:after="200" w:before="360"/>
      </w:pPr>
      <w:r>
        <w:rPr>
          <w:rFonts w:ascii="Calibri" w:cs="Calibri" w:eastAsia="Calibri" w:hAnsi="Calibri"/>
          <w:b/>
          <w:bCs/>
          <w:color w:val="000000"/>
          <w:sz w:val="28"/>
          <w:szCs w:val="28"/>
        </w:rPr>
        <w:t xml:space="preserve">3. Metodología de desarrollo</w:t>
      </w:r>
    </w:p>
    <w:p>
      <w:pPr>
        <w:spacing w:after="160" w:line="276"/>
        <w:jc w:val="both"/>
      </w:pPr>
      <w:r>
        <w:rPr>
          <w:rFonts w:ascii="Calibri" w:cs="Calibri" w:eastAsia="Calibri" w:hAnsi="Calibri"/>
          <w:b w:val="false"/>
          <w:bCs w:val="false"/>
          <w:i w:val="false"/>
          <w:iCs w:val="false"/>
          <w:sz w:val="22"/>
          <w:szCs w:val="22"/>
        </w:rPr>
        <w:t xml:space="preserve">El proyecto se desarrolla bajo un modelo de desarrollo incremental, apoyado en prácticas ágiles simplificadas y adaptado a un equipo reducido de dos integrantes. Bajo este modelo, el sistema se construye en incrementos funcionales completos y demostrables, donde cada uno entrega una porción de funcionalidad utilizable por sí sola, sin necesidad de esperar a que el proyecto esté terminado en su totalidad.</w:t>
      </w:r>
    </w:p>
    <w:p>
      <w:pPr>
        <w:spacing w:after="160" w:line="276"/>
        <w:jc w:val="both"/>
      </w:pPr>
      <w:r>
        <w:rPr>
          <w:rFonts w:ascii="Calibri" w:cs="Calibri" w:eastAsia="Calibri" w:hAnsi="Calibri"/>
          <w:b w:val="false"/>
          <w:bCs w:val="false"/>
          <w:i w:val="false"/>
          <w:iCs w:val="false"/>
          <w:sz w:val="22"/>
          <w:szCs w:val="22"/>
        </w:rPr>
        <w:t xml:space="preserve">La planificación y el seguimiento del trabajo dentro de cada incremento se apoyan en un backlog priorizado y un tablero de tareas gestionado en GitHub Projects, sin adoptar el aparato completo de ceremonias y roles de Scrum, dado el tamaño del equipo.</w:t>
      </w:r>
    </w:p>
    <w:p>
      <w:pPr>
        <w:pStyle w:val="Heading2"/>
        <w:spacing w:after="140" w:before="260"/>
      </w:pPr>
      <w:r>
        <w:rPr>
          <w:rFonts w:ascii="Calibri" w:cs="Calibri" w:eastAsia="Calibri" w:hAnsi="Calibri"/>
          <w:b/>
          <w:bCs/>
          <w:color w:val="000000"/>
          <w:sz w:val="24"/>
          <w:szCs w:val="24"/>
        </w:rPr>
        <w:t xml:space="preserve">3.1 Etapas del ciclo de desarrollo</w:t>
      </w:r>
    </w:p>
    <w:p>
      <w:pPr>
        <w:pStyle w:val="ListParagraph"/>
        <w:numPr>
          <w:ilvl w:val="0"/>
          <w:numId w:val="1"/>
        </w:numPr>
        <w:spacing w:after="100" w:line="276"/>
      </w:pPr>
      <w:r>
        <w:rPr>
          <w:rFonts w:ascii="Calibri" w:cs="Calibri" w:eastAsia="Calibri" w:hAnsi="Calibri"/>
          <w:sz w:val="22"/>
          <w:szCs w:val="22"/>
        </w:rPr>
        <w:t xml:space="preserve">Evaluación: definición del problema, requerimientos y factibilidad (ya completada en la Fase 1 del proyecto).</w:t>
      </w:r>
    </w:p>
    <w:p>
      <w:pPr>
        <w:pStyle w:val="ListParagraph"/>
        <w:numPr>
          <w:ilvl w:val="0"/>
          <w:numId w:val="1"/>
        </w:numPr>
        <w:spacing w:after="100" w:line="276"/>
      </w:pPr>
      <w:r>
        <w:rPr>
          <w:rFonts w:ascii="Calibri" w:cs="Calibri" w:eastAsia="Calibri" w:hAnsi="Calibri"/>
          <w:sz w:val="22"/>
          <w:szCs w:val="22"/>
        </w:rPr>
        <w:t xml:space="preserve">Diseño: modelo de dominio, arquitectura de software, matriz de riesgos y prototipos de interfaz.</w:t>
      </w:r>
    </w:p>
    <w:p>
      <w:pPr>
        <w:pStyle w:val="ListParagraph"/>
        <w:numPr>
          <w:ilvl w:val="0"/>
          <w:numId w:val="1"/>
        </w:numPr>
        <w:spacing w:after="100" w:line="276"/>
      </w:pPr>
      <w:r>
        <w:rPr>
          <w:rFonts w:ascii="Calibri" w:cs="Calibri" w:eastAsia="Calibri" w:hAnsi="Calibri"/>
          <w:sz w:val="22"/>
          <w:szCs w:val="22"/>
        </w:rPr>
        <w:t xml:space="preserve">Desarrollo: construcción incremental de los módulos del sistema, con documentación técnica continua.</w:t>
      </w:r>
    </w:p>
    <w:p>
      <w:pPr>
        <w:pStyle w:val="ListParagraph"/>
        <w:numPr>
          <w:ilvl w:val="0"/>
          <w:numId w:val="1"/>
        </w:numPr>
        <w:spacing w:after="100" w:line="276"/>
      </w:pPr>
      <w:r>
        <w:rPr>
          <w:rFonts w:ascii="Calibri" w:cs="Calibri" w:eastAsia="Calibri" w:hAnsi="Calibri"/>
          <w:sz w:val="22"/>
          <w:szCs w:val="22"/>
        </w:rPr>
        <w:t xml:space="preserve">Pruebas: diseño y aplicación de pruebas funcionales y de usabilidad.</w:t>
      </w:r>
    </w:p>
    <w:p>
      <w:pPr>
        <w:pStyle w:val="ListParagraph"/>
        <w:numPr>
          <w:ilvl w:val="0"/>
          <w:numId w:val="1"/>
        </w:numPr>
        <w:spacing w:after="100" w:line="276"/>
      </w:pPr>
      <w:r>
        <w:rPr>
          <w:rFonts w:ascii="Calibri" w:cs="Calibri" w:eastAsia="Calibri" w:hAnsi="Calibri"/>
          <w:sz w:val="22"/>
          <w:szCs w:val="22"/>
        </w:rPr>
        <w:t xml:space="preserve">Implementación: piloto con el caso real de ECer y elaboración de manuales.</w:t>
      </w:r>
    </w:p>
    <w:p>
      <w:pPr>
        <w:pStyle w:val="ListParagraph"/>
        <w:numPr>
          <w:ilvl w:val="0"/>
          <w:numId w:val="1"/>
        </w:numPr>
        <w:spacing w:after="100" w:line="276"/>
      </w:pPr>
      <w:r>
        <w:rPr>
          <w:rFonts w:ascii="Calibri" w:cs="Calibri" w:eastAsia="Calibri" w:hAnsi="Calibri"/>
          <w:sz w:val="22"/>
          <w:szCs w:val="22"/>
        </w:rPr>
        <w:t xml:space="preserve">Cierre: consolidación del informe técnico final, paper académico y entrega.</w:t>
      </w:r>
    </w:p>
    <w:p>
      <w:pPr>
        <w:pStyle w:val="Heading1"/>
        <w:spacing w:after="200" w:before="360"/>
      </w:pPr>
      <w:r>
        <w:rPr>
          <w:rFonts w:ascii="Calibri" w:cs="Calibri" w:eastAsia="Calibri" w:hAnsi="Calibri"/>
          <w:b/>
          <w:bCs/>
          <w:color w:val="000000"/>
          <w:sz w:val="28"/>
          <w:szCs w:val="28"/>
        </w:rPr>
        <w:t xml:space="preserve">4. Equipo y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0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Integrante</w:t>
            </w:r>
          </w:p>
        </w:tc>
        <w:tc>
          <w:tcPr>
            <w:tcW w:type="dxa" w:w="3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Rol principal</w:t>
            </w:r>
          </w:p>
        </w:tc>
        <w:tc>
          <w:tcPr>
            <w:tcW w:type="dxa" w:w="3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Responsabilidades clave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Demis Cuesta</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Arquitectura, integraciones y Front/Back Office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Arquitectura general de la solución, diseño de la API propia, integración de datos de cotización de envío (apoyado en su experiencia profesional en Blue Express), desarrollo del Front Office y Back Office, implementación de la PWA, coordinación del piloto con ECer.</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José Landeros</w:t>
            </w:r>
          </w:p>
        </w:tc>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Inteligencia artificial y motor de recomendación</w:t>
            </w:r>
          </w:p>
        </w:tc>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Diseño e implementación del módulo de diagnóstico conversacional con IA generativa, diseño del motor de recomendación mediante scoring ponderado, diseño de pruebas de validación técnica, apoyado en su experiencia previa en modelos de machine learning y deep learning.</w:t>
            </w:r>
          </w:p>
        </w:tc>
      </w:tr>
    </w:tbl>
    <w:p>
      <w:pPr>
        <w:spacing w:after="160" w:line="276"/>
        <w:jc w:val="both"/>
      </w:pPr>
      <w:r>
        <w:rPr>
          <w:rFonts w:ascii="Calibri" w:cs="Calibri" w:eastAsia="Calibri" w:hAnsi="Calibri"/>
          <w:b w:val="false"/>
          <w:bCs w:val="false"/>
          <w:i w:val="false"/>
          <w:iCs w:val="false"/>
          <w:sz w:val="22"/>
          <w:szCs w:val="22"/>
        </w:rPr>
        <w:t xml:space="preserve">Ambos integrantes participan de forma conjunta en la planificación de cada incremento, la revisión de avances y la documentación técnica del proyecto, dado el tamaño reducido del equipo y la necesidad de mantener alineación constante sobre las decisiones de diseño.</w:t>
      </w:r>
    </w:p>
    <w:p>
      <w:pPr>
        <w:pStyle w:val="Heading1"/>
        <w:spacing w:after="200" w:before="360"/>
      </w:pPr>
      <w:r>
        <w:rPr>
          <w:rFonts w:ascii="Calibri" w:cs="Calibri" w:eastAsia="Calibri" w:hAnsi="Calibri"/>
          <w:b/>
          <w:bCs/>
          <w:color w:val="000000"/>
          <w:sz w:val="28"/>
          <w:szCs w:val="28"/>
        </w:rPr>
        <w:t xml:space="preserve">5. Alcance funcional del proyecto (MoSCoW)</w:t>
      </w:r>
    </w:p>
    <w:p>
      <w:pPr>
        <w:spacing w:after="160" w:line="276"/>
        <w:jc w:val="both"/>
      </w:pPr>
      <w:r>
        <w:rPr>
          <w:rFonts w:ascii="Calibri" w:cs="Calibri" w:eastAsia="Calibri" w:hAnsi="Calibri"/>
          <w:b w:val="false"/>
          <w:bCs w:val="false"/>
          <w:i w:val="false"/>
          <w:iCs w:val="false"/>
          <w:sz w:val="22"/>
          <w:szCs w:val="22"/>
        </w:rPr>
        <w:t xml:space="preserve">El alcance del MVP fue depurado mediante priorización MoSCoW sobre el total de requisitos funcionales y no funcionales identificados. Solo los requisitos clasificados como Must have y Should have forman parte del cronograma de desarrollo; los clasificados como Could have quedan documentados como evolución futura, fuera del alcance del semestre.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50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Categoría MoSCoW</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Cantidad de RF</w:t>
            </w:r>
          </w:p>
        </w:tc>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Cantidad de RNF</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Tratamiento</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Must have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18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Incluidos y garantizados en el cronograma de incrementos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Should have</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10</w:t>
            </w:r>
          </w:p>
        </w:tc>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5</w:t>
            </w:r>
          </w:p>
        </w:tc>
        <w:tc>
          <w:tcPr>
            <w:tcW w:type="dxa" w:w="2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Incluidos en el cronograma; primeros en ajustarse si el tiempo se acota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Could have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Fuera del MVP; documentados como evolución futura</w:t>
            </w:r>
          </w:p>
        </w:tc>
      </w:tr>
    </w:tbl>
    <w:p>
      <w:pPr>
        <w:spacing w:after="160" w:line="276"/>
        <w:jc w:val="left"/>
      </w:pPr>
      <w:r>
        <w:rPr>
          <w:rFonts w:ascii="Calibri" w:cs="Calibri" w:eastAsia="Calibri" w:hAnsi="Calibri"/>
          <w:b w:val="false"/>
          <w:bCs w:val="false"/>
          <w:i/>
          <w:iCs/>
          <w:sz w:val="22"/>
          <w:szCs w:val="22"/>
        </w:rPr>
        <w:t xml:space="preserve">El detalle completo de los 48 requisitos y su clasificación se encuentra en el Documento de Requerimientos / Historias de Usuario del proyecto.</w:t>
      </w:r>
    </w:p>
    <w:p>
      <w:pPr>
        <w:pStyle w:val="Heading1"/>
        <w:spacing w:after="200" w:before="360"/>
      </w:pPr>
      <w:r>
        <w:rPr>
          <w:rFonts w:ascii="Calibri" w:cs="Calibri" w:eastAsia="Calibri" w:hAnsi="Calibri"/>
          <w:b/>
          <w:bCs/>
          <w:color w:val="000000"/>
          <w:sz w:val="28"/>
          <w:szCs w:val="28"/>
        </w:rPr>
        <w:t xml:space="preserve">6. Cronograma del proyecto</w:t>
      </w:r>
    </w:p>
    <w:p>
      <w:pPr>
        <w:spacing w:after="160" w:line="276"/>
        <w:jc w:val="both"/>
      </w:pPr>
      <w:r>
        <w:rPr>
          <w:rFonts w:ascii="Calibri" w:cs="Calibri" w:eastAsia="Calibri" w:hAnsi="Calibri"/>
          <w:b w:val="false"/>
          <w:bCs w:val="false"/>
          <w:i w:val="false"/>
          <w:iCs w:val="false"/>
          <w:sz w:val="22"/>
          <w:szCs w:val="22"/>
        </w:rPr>
        <w:t xml:space="preserve">El desarrollo se organiza en 12 incrementos semanales, desde el 7 de septiembre hasta el 29 de noviembre de 2026, distribuidos en tres fases: Definición (semana 1), Desarrollo por Incrementos (semanas 2 a 10) y Cierre y Evaluación (semanas 11 y 12). El detalle completo, con la asignación semanal de cada tarea, se presenta en el documento Carta Gantt 2.0 adjunto.</w:t>
      </w:r>
    </w:p>
    <w:p>
      <w:pPr>
        <w:pStyle w:val="Heading2"/>
        <w:spacing w:after="140" w:before="260"/>
      </w:pPr>
      <w:r>
        <w:rPr>
          <w:rFonts w:ascii="Calibri" w:cs="Calibri" w:eastAsia="Calibri" w:hAnsi="Calibri"/>
          <w:b/>
          <w:bCs/>
          <w:color w:val="000000"/>
          <w:sz w:val="24"/>
          <w:szCs w:val="24"/>
        </w:rPr>
        <w:t xml:space="preserve">6.1 Resumen de incrementos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210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Incremento</w:t>
            </w:r>
          </w:p>
        </w:tc>
        <w:tc>
          <w:tcPr>
            <w:tcW w:type="dxa" w:w="6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Foco principal</w:t>
            </w:r>
          </w:p>
        </w:tc>
        <w:tc>
          <w:tcPr>
            <w:tcW w:type="dxa" w:w="2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Responsable(s)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Arquitectura, modelo de datos y diseño del motor de scoring genérico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Ambos</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1</w:t>
            </w:r>
          </w:p>
        </w:tc>
        <w:tc>
          <w:tcPr>
            <w:tcW w:type="dxa" w:w="6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Wizard de diagnóstico (con guardado y retomado) + estructura base Front/Back Office</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Demis Cuesta / José Landeros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Informe narrativo del Canvas + plantillas de respaldo por rubro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José Landeros / Demis Cuesta</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3</w:t>
            </w:r>
          </w:p>
        </w:tc>
        <w:tc>
          <w:tcPr>
            <w:tcW w:type="dxa" w:w="6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Motor de scoring genérico — aplicado a plataformas de e-commerce</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José Landeros / Demis Cuesta</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Tarifario propio (Blue Express, Starken, Chilexpress) + scoring de transportista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Demis Cuesta</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5</w:t>
            </w:r>
          </w:p>
        </w:tc>
        <w:tc>
          <w:tcPr>
            <w:tcW w:type="dxa" w:w="6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Calculadora de costos unificada + recálculo de recomendación al editar Canvas</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Ambos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Rutas de afiliado + registro de contacto con agencias + catálogo curado manualmente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Ambos</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7</w:t>
            </w:r>
          </w:p>
        </w:tc>
        <w:tc>
          <w:tcPr>
            <w:tcW w:type="dxa" w:w="6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Autenticación, seguridad y PWA (emprendedor y agencia)</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Demis Cuesta</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Integración end-to-end + dashboard de KPIs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Ambos</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9</w:t>
            </w:r>
          </w:p>
        </w:tc>
        <w:tc>
          <w:tcPr>
            <w:tcW w:type="dxa" w:w="6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Diseño y aplicación de pruebas de validación</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Ambos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Piloto con ECer y agencias curadas manualmente + ajustes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Ambos</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11</w:t>
            </w:r>
          </w:p>
        </w:tc>
        <w:tc>
          <w:tcPr>
            <w:tcW w:type="dxa" w:w="6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Informe técnico final, video demostrativo, cierre y entrega</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Ambos</w:t>
            </w:r>
          </w:p>
        </w:tc>
      </w:tr>
    </w:tbl>
    <w:p>
      <w:pPr>
        <w:pStyle w:val="Heading2"/>
        <w:spacing w:after="140" w:before="260"/>
      </w:pPr>
      <w:r>
        <w:rPr>
          <w:rFonts w:ascii="Calibri" w:cs="Calibri" w:eastAsia="Calibri" w:hAnsi="Calibri"/>
          <w:b/>
          <w:bCs/>
          <w:color w:val="000000"/>
          <w:sz w:val="24"/>
          <w:szCs w:val="24"/>
        </w:rPr>
        <w:t xml:space="preserve">6.2 Línea de tiempo de documentación (paralela al desarrollo)</w:t>
      </w:r>
    </w:p>
    <w:p>
      <w:pPr>
        <w:spacing w:after="160" w:line="276"/>
        <w:jc w:val="both"/>
      </w:pPr>
      <w:r>
        <w:rPr>
          <w:rFonts w:ascii="Calibri" w:cs="Calibri" w:eastAsia="Calibri" w:hAnsi="Calibri"/>
          <w:b w:val="false"/>
          <w:bCs w:val="false"/>
          <w:i w:val="false"/>
          <w:iCs w:val="false"/>
          <w:sz w:val="22"/>
          <w:szCs w:val="22"/>
        </w:rPr>
        <w:t xml:space="preserve">En paralelo al desarrollo del producto, el equipo mantiene una línea de tiempo independiente para los entregables de documentación, organizada en seis etapas: Evaluación, Diseño, Desarrollo, Pruebas, Implementación y Cierre, detallada en el documento Documentación — Línea de Tiempo adjunto.</w:t>
      </w:r>
    </w:p>
    <w:p>
      <w:pPr>
        <w:pStyle w:val="Heading1"/>
        <w:spacing w:after="200" w:before="360"/>
      </w:pPr>
      <w:r>
        <w:rPr>
          <w:rFonts w:ascii="Calibri" w:cs="Calibri" w:eastAsia="Calibri" w:hAnsi="Calibri"/>
          <w:b/>
          <w:bCs/>
          <w:color w:val="000000"/>
          <w:sz w:val="28"/>
          <w:szCs w:val="28"/>
        </w:rPr>
        <w:t xml:space="preserve">7. Herramientas y tecnologías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Componente</w:t>
            </w:r>
          </w:p>
        </w:tc>
        <w:tc>
          <w:tcPr>
            <w:tcW w:type="dxa" w:w="6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Tecnología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Frontend y API propia</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Next.js, desplegado en Vercel (funciones serverless)</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Base de datos</w:t>
            </w:r>
          </w:p>
        </w:tc>
        <w:tc>
          <w:tcPr>
            <w:tcW w:type="dxa" w:w="6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Supabase (PostgreSQL con Connection Pooler)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IA generativa</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Google Gemini API (capa gratuita) como proveedor principal; Groq como respaldo</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Gestión de proyecto</w:t>
            </w:r>
          </w:p>
        </w:tc>
        <w:tc>
          <w:tcPr>
            <w:tcW w:type="dxa" w:w="6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GitHub Projects (backlog, incrementos, tablero de tareas)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Control de versiones</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Git / GitHub</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PWA</w:t>
            </w:r>
          </w:p>
        </w:tc>
        <w:tc>
          <w:tcPr>
            <w:tcW w:type="dxa" w:w="6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next-pwa (manifest y service worker) para los roles Emprendedor y Agencia</w:t>
            </w:r>
          </w:p>
        </w:tc>
      </w:tr>
    </w:tbl>
    <w:p>
      <w:pPr>
        <w:pStyle w:val="Heading1"/>
        <w:spacing w:after="200" w:before="360"/>
      </w:pPr>
      <w:r>
        <w:rPr>
          <w:rFonts w:ascii="Calibri" w:cs="Calibri" w:eastAsia="Calibri" w:hAnsi="Calibri"/>
          <w:b/>
          <w:bCs/>
          <w:color w:val="000000"/>
          <w:sz w:val="28"/>
          <w:szCs w:val="28"/>
        </w:rPr>
        <w:t xml:space="preserve">8. Gestión de riesgos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60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Riesgo identificado</w:t>
            </w:r>
          </w:p>
        </w:tc>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Probabilidad / Impacto</w:t>
            </w:r>
          </w:p>
        </w:tc>
        <w:tc>
          <w:tcPr>
            <w:tcW w:type="dxa" w:w="4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Mitigación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Disponibilidad de tiempo del equipo (2 integrantes, uno compatibiliza con trabajo)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Media / Alto</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Incrementos de corta duración y alcance acotado; un atraso puntual no compromete la totalidad del proyecto</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Dependencia de servicios externos (API de IA generativa, cotización de envío)</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Media / Medio</w:t>
            </w:r>
          </w:p>
        </w:tc>
        <w:tc>
          <w:tcPr>
            <w:tcW w:type="dxa" w:w="4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Datos de respaldo cargados manualmente en el panel administrativo; límite de solicitudes a la API de IA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Cuota gratuita de la API de IA generativa insuficiente en picos de uso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Baja / Medio</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Proveedor de respaldo (Groq); control de solicitudes por usuario y período</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Conflicto de interés por vínculo laboral de Demis Cuesta con Blue Express</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Baja / Alto</w:t>
            </w:r>
          </w:p>
        </w:tc>
        <w:tc>
          <w:tcPr>
            <w:tcW w:type="dxa" w:w="4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Scoring de transportistas ciego a comisiones; sin modelo de pago por posicionamiento para couriers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Falta de agencias reales dispuestas a participar del piloto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Media / Medio</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Uso de datos de demostración explícitamente identificados como ficticios si no se logra consentimiento a tiempo</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Cambio de alcance no controlado (scope creep)</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Media / Alto</w:t>
            </w:r>
          </w:p>
        </w:tc>
        <w:tc>
          <w:tcPr>
            <w:tcW w:type="dxa" w:w="4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9"/>
                <w:szCs w:val="19"/>
              </w:rPr>
              <w:t xml:space="preserve">Priorización MoSCoW aplicada de forma estricta; nuevos hallazgos (ej. encuesta propia) se evalúan solo dentro del alcance ya aprobado</w:t>
            </w:r>
          </w:p>
        </w:tc>
      </w:tr>
    </w:tbl>
    <w:p>
      <w:pPr>
        <w:pStyle w:val="Heading1"/>
        <w:spacing w:after="200" w:before="360"/>
      </w:pPr>
      <w:r>
        <w:rPr>
          <w:rFonts w:ascii="Calibri" w:cs="Calibri" w:eastAsia="Calibri" w:hAnsi="Calibri"/>
          <w:b/>
          <w:bCs/>
          <w:color w:val="000000"/>
          <w:sz w:val="28"/>
          <w:szCs w:val="28"/>
        </w:rPr>
        <w:t xml:space="preserve">9. Gestión de cambios y resolución de conflictos</w:t>
      </w:r>
    </w:p>
    <w:p>
      <w:pPr>
        <w:spacing w:after="160" w:line="276"/>
        <w:jc w:val="both"/>
      </w:pPr>
      <w:r>
        <w:rPr>
          <w:rFonts w:ascii="Calibri" w:cs="Calibri" w:eastAsia="Calibri" w:hAnsi="Calibri"/>
          <w:b w:val="false"/>
          <w:bCs w:val="false"/>
          <w:i w:val="false"/>
          <w:iCs w:val="false"/>
          <w:sz w:val="22"/>
          <w:szCs w:val="22"/>
        </w:rPr>
        <w:t xml:space="preserve">El proyecto ha registrado seis instancias de discrepancia o desacuerdo de criterio relevantes durante su definición, incluyendo el cambio de proyecto principal (de WHilo a E-Match) y ajustes de diseño surgidos de la revisión cruzada del equipo. El detalle completo de cada conflicto, las partes involucradas, la resolución adoptada y su justificación se documenta en el registro de Resolución de Conflictos del proyecto.</w:t>
      </w:r>
    </w:p>
    <w:p>
      <w:pPr>
        <w:pStyle w:val="Heading1"/>
        <w:spacing w:after="200" w:before="360"/>
      </w:pPr>
      <w:r>
        <w:rPr>
          <w:rFonts w:ascii="Calibri" w:cs="Calibri" w:eastAsia="Calibri" w:hAnsi="Calibri"/>
          <w:b/>
          <w:bCs/>
          <w:color w:val="000000"/>
          <w:sz w:val="28"/>
          <w:szCs w:val="28"/>
        </w:rPr>
        <w:t xml:space="preserve">10. Comunicación y seguimiento</w:t>
      </w:r>
    </w:p>
    <w:p>
      <w:pPr>
        <w:pStyle w:val="ListParagraph"/>
        <w:numPr>
          <w:ilvl w:val="0"/>
          <w:numId w:val="1"/>
        </w:numPr>
        <w:spacing w:after="100" w:line="276"/>
      </w:pPr>
      <w:r>
        <w:rPr>
          <w:rFonts w:ascii="Calibri" w:cs="Calibri" w:eastAsia="Calibri" w:hAnsi="Calibri"/>
          <w:sz w:val="22"/>
          <w:szCs w:val="22"/>
        </w:rPr>
        <w:t xml:space="preserve">El avance de cada incremento se registra en una bitácora dentro de GitHub Projects, incluyendo tareas completadas, pendientes y ajustes necesarios para el siguiente ciclo.</w:t>
      </w:r>
    </w:p>
    <w:p>
      <w:pPr>
        <w:pStyle w:val="ListParagraph"/>
        <w:numPr>
          <w:ilvl w:val="0"/>
          <w:numId w:val="1"/>
        </w:numPr>
        <w:spacing w:after="100" w:line="276"/>
      </w:pPr>
      <w:r>
        <w:rPr>
          <w:rFonts w:ascii="Calibri" w:cs="Calibri" w:eastAsia="Calibri" w:hAnsi="Calibri"/>
          <w:sz w:val="22"/>
          <w:szCs w:val="22"/>
        </w:rPr>
        <w:t xml:space="preserve">La planificación de cada incremento se revisa de forma conjunta entre ambos integrantes al inicio de cada semana de desarrollo.</w:t>
      </w:r>
    </w:p>
    <w:p>
      <w:pPr>
        <w:pStyle w:val="ListParagraph"/>
        <w:numPr>
          <w:ilvl w:val="0"/>
          <w:numId w:val="1"/>
        </w:numPr>
        <w:spacing w:after="100" w:line="276"/>
      </w:pPr>
      <w:r>
        <w:rPr>
          <w:rFonts w:ascii="Calibri" w:cs="Calibri" w:eastAsia="Calibri" w:hAnsi="Calibri"/>
          <w:sz w:val="22"/>
          <w:szCs w:val="22"/>
        </w:rPr>
        <w:t xml:space="preserve">Las decisiones de diseño relevantes quedan documentadas en el registro de decisiones del proyecto, disponible como documento de contexto compartido entre ambos integrantes.</w:t>
      </w:r>
    </w:p>
    <w:p>
      <w:pPr>
        <w:pStyle w:val="ListParagraph"/>
        <w:numPr>
          <w:ilvl w:val="0"/>
          <w:numId w:val="1"/>
        </w:numPr>
        <w:spacing w:after="100" w:line="276"/>
      </w:pPr>
      <w:r>
        <w:rPr>
          <w:rFonts w:ascii="Calibri" w:cs="Calibri" w:eastAsia="Calibri" w:hAnsi="Calibri"/>
          <w:sz w:val="22"/>
          <w:szCs w:val="22"/>
        </w:rPr>
        <w:t xml:space="preserve">El tablero de trabajo colaborativo del equipo (arquitectura, modelo de dominio, flujos) se mantiene en un espacio de Miro de uso exclusivo del equipo.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2026-09-11T02:38:49.349Z</dcterms:created>
  <dcterms:modified xsi:type="dcterms:W3CDTF">2026-09-11T02:38:49.359Z</dcterms:modified>
</cp:coreProperties>
</file>

<file path=docProps/custom.xml><?xml version="1.0" encoding="utf-8"?>
<Properties xmlns="http://schemas.openxmlformats.org/officeDocument/2006/custom-properties" xmlns:vt="http://schemas.openxmlformats.org/officeDocument/2006/docPropsVTypes"/>
</file>