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c1ef9d7ba7b848c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center"/>
        <w:rPr/>
      </w:pPr>
      <w:r>
        <w:rPr>
          <w:b w:val="1"/>
          <w:bCs w:val="1"/>
          <w:color w:val="2f5597"/>
          <w:sz w:val="22"/>
          <w:szCs w:val="22"/>
          <w:rtl w:val="0"/>
        </w:rPr>
        <w:t xml:space="preserve">LABORATORY WORK 3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pStyle w:val="Title"/>
        <w:jc w:val="center"/>
      </w:pPr>
      <w:r w:rsidRPr="01AA9DFE" w:rsidR="01AA9DFE">
        <w:rPr>
          <w:lang w:val="en-US"/>
        </w:rPr>
        <w:t xml:space="preserve">Building an ETL Pipeline for a</w:t>
      </w:r>
      <w:r>
        <w:rPr>
          <w:rtl w:val="0"/>
        </w:rPr>
        <w:br w:type="textWrapping"/>
      </w:r>
      <w:r w:rsidRPr="01AA9DFE" w:rsidR="01AA9DFE">
        <w:rPr>
          <w:lang w:val="en-US"/>
        </w:rPr>
        <w:t xml:space="preserve">Vulnerability-Detection Data Warehouse</w:t>
      </w:r>
    </w:p>
    <w:p xmlns:wp14="http://schemas.microsoft.com/office/word/2010/wordml" w:rsidRDefault="00000000" w14:paraId="00000003" wp14:textId="77777777">
      <w:pPr>
        <w:jc w:val="center"/>
      </w:pPr>
      <w:r w:rsidRPr="01AA9DFE" w:rsidR="01AA9DFE">
        <w:rPr>
          <w:color w:val="595959"/>
          <w:sz w:val="22"/>
          <w:szCs w:val="22"/>
          <w:lang w:val="en-US"/>
        </w:rPr>
        <w:t xml:space="preserve">Lecture 4: Organizational Data Warehousing • ETL • Data Integration • Talend / Apache NiFi / Microsoft SSIS</w:t>
      </w:r>
      <w:r>
        <w:rPr>
          <w:rtl w:val="0"/>
        </w:rPr>
      </w:r>
    </w:p>
    <w:tbl>
      <w:tblPr>
        <w:tblStyle w:val="Table1"/>
        <w:tblW w:w="10080" w:type="dxa"/>
        <w:jc w:val="center"/>
        <w:tblLayout w:type="fixed"/>
        <w:tblLook w:val="0400"/>
        <w:tblPrChange w:author="" w:id="306612425">
          <w:tblPr/>
        </w:tblPrChange>
      </w:tblPr>
      <w:tblGrid>
        <w:gridCol w:w="2520"/>
        <w:gridCol w:w="2520"/>
        <w:gridCol w:w="2520"/>
        <w:gridCol w:w="2520"/>
      </w:tblGrid>
      <w:tr xmlns:wp14="http://schemas.microsoft.com/office/word/2010/wordml" w:rsidTr="01AA9DFE" w14:paraId="419B3742" wp14:textId="77777777">
        <w:trPr>
          <w:cantSplit w:val="0"/>
          <w:tblHeader w:val="0"/>
        </w:trPr>
        <w:tc>
          <w:tcPr>
            <w:shd w:val="clear" w:color="auto" w:fill="D9EAF7"/>
            <w:tcMar>
              <w:top w:w="90.0" w:type="dxa"/>
              <w:bottom w:w="90.0" w:type="dxa"/>
            </w:tcMar>
            <w:vAlign w:val="center"/>
          </w:tcPr>
          <w:p w:rsidRDefault="00000000" w14:paraId="00000004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Level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Default="00000000" w14:paraId="00000005" wp14:textId="77777777">
            <w:pPr>
              <w:rPr/>
            </w:pPr>
            <w:r>
              <w:rPr>
                <w:rtl w:val="0"/>
              </w:rPr>
              <w:t xml:space="preserve">Master’s students</w:t>
            </w:r>
          </w:p>
        </w:tc>
        <w:tc>
          <w:tcPr>
            <w:shd w:val="clear" w:color="auto" w:fill="D9EAF7"/>
            <w:tcMar>
              <w:top w:w="90.0" w:type="dxa"/>
              <w:bottom w:w="90.0" w:type="dxa"/>
            </w:tcMar>
            <w:vAlign w:val="center"/>
          </w:tcPr>
          <w:p w:rsidRDefault="00000000" w14:paraId="00000006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Estimated time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Default="00000000" w14:paraId="00000007" wp14:textId="77777777">
            <w:pPr>
              <w:rPr/>
            </w:pPr>
            <w:r>
              <w:rPr>
                <w:rtl w:val="0"/>
              </w:rPr>
              <w:t xml:space="preserve">2–3 hours</w:t>
            </w:r>
          </w:p>
        </w:tc>
      </w:tr>
      <w:tr xmlns:wp14="http://schemas.microsoft.com/office/word/2010/wordml" w:rsidTr="01AA9DFE" w14:paraId="1648D65E" wp14:textId="77777777">
        <w:trPr>
          <w:cantSplit w:val="0"/>
          <w:tblHeader w:val="0"/>
        </w:trPr>
        <w:tc>
          <w:tcPr>
            <w:shd w:val="clear" w:color="auto" w:fill="D9EAF7"/>
            <w:tcMar>
              <w:top w:w="90.0" w:type="dxa"/>
              <w:bottom w:w="90.0" w:type="dxa"/>
            </w:tcMar>
            <w:vAlign w:val="center"/>
          </w:tcPr>
          <w:p w:rsidRDefault="00000000" w14:paraId="00000008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Work mode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Default="00000000" w14:paraId="00000009" wp14:textId="77777777">
            <w:pPr>
              <w:rPr/>
            </w:pPr>
            <w:r>
              <w:rPr>
                <w:rtl w:val="0"/>
              </w:rPr>
              <w:t xml:space="preserve">Pairs </w:t>
            </w:r>
          </w:p>
        </w:tc>
        <w:tc>
          <w:tcPr>
            <w:shd w:val="clear" w:color="auto" w:fill="D9EAF7"/>
            <w:tcMar>
              <w:top w:w="90.0" w:type="dxa"/>
              <w:bottom w:w="90.0" w:type="dxa"/>
            </w:tcMar>
            <w:vAlign w:val="center"/>
          </w:tcPr>
          <w:p w:rsidRDefault="00000000" w14:paraId="0000000A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Deliverables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Default="00000000" w14:paraId="0000000B" wp14:textId="77777777">
            <w:pPr/>
            <w:r w:rsidRPr="01AA9DFE" w:rsidR="01AA9DFE">
              <w:rPr>
                <w:lang w:val="en-US"/>
              </w:rPr>
              <w:t>python file , Report + ETL output</w:t>
            </w:r>
          </w:p>
        </w:tc>
      </w:tr>
      <w:tr xmlns:wp14="http://schemas.microsoft.com/office/word/2010/wordml" w:rsidTr="01AA9DFE" w14:paraId="2A9EBA6E" wp14:textId="77777777">
        <w:trPr>
          <w:cantSplit w:val="0"/>
          <w:tblHeader w:val="0"/>
        </w:trPr>
        <w:tc>
          <w:tcPr>
            <w:shd w:val="clear" w:color="auto" w:fill="D9EAF7"/>
            <w:tcMar>
              <w:top w:w="90.0" w:type="dxa"/>
              <w:bottom w:w="90.0" w:type="dxa"/>
            </w:tcMar>
            <w:vAlign w:val="center"/>
          </w:tcPr>
          <w:p w:rsidRDefault="00000000" w14:paraId="0000000C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Domain</w:t>
            </w:r>
            <w:r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Default="00000000" w14:paraId="0000000D" wp14:textId="77777777">
            <w:pPr>
              <w:rPr/>
            </w:pPr>
            <w:r>
              <w:rPr>
                <w:rtl w:val="0"/>
              </w:rPr>
              <w:t xml:space="preserve">Software security data</w:t>
            </w:r>
          </w:p>
        </w:tc>
        <w:tc>
          <w:tcPr>
            <w:shd w:val="clear" w:color="auto" w:fill="D9EAF7"/>
            <w:tcMar>
              <w:top w:w="90.0" w:type="dxa"/>
              <w:bottom w:w="90.0" w:type="dxa"/>
            </w:tcMar>
            <w:vAlign w:val="center"/>
          </w:tcPr>
          <w:p w:rsidRDefault="00000000" w14:paraId="0000000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Default="00000000" w14:paraId="0000000F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0" wp14:textId="77777777">
      <w:pPr>
        <w:pStyle w:val="Heading1"/>
        <w:rPr/>
      </w:pPr>
      <w:r>
        <w:rPr>
          <w:rtl w:val="0"/>
        </w:rPr>
        <w:t xml:space="preserve">1. Purpose</w:t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  <w:t xml:space="preserve">The purpose of this laboratory work is to design and implement a small organizational data-integration pipeline that prepares software-vulnerability data for analytical storage. Students will connect the Lecture 4 concepts of data warehousing, ETL, data quality, and integration with the experimental data-management problems described in the research article “Finetuning Large Language Models for Vulnerability Detection” (Shestov et al., 2025).</w:t>
      </w:r>
    </w:p>
    <w:p xmlns:wp14="http://schemas.microsoft.com/office/word/2010/wordml" w:rsidRDefault="00000000" w14:paraId="00000012" wp14:textId="77777777">
      <w:pPr>
        <w:pStyle w:val="Heading1"/>
        <w:rPr/>
      </w:pPr>
      <w:r>
        <w:rPr>
          <w:rtl w:val="0"/>
        </w:rPr>
        <w:t xml:space="preserve">2. Learning outcomes</w:t>
      </w:r>
    </w:p>
    <w:p xmlns:wp14="http://schemas.microsoft.com/office/word/2010/wordml" w:rsidP="01AA9DFE" w:rsidRDefault="00000000" w14:paraId="0000001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360" w:right="0" w:hanging="360"/>
        <w:jc w:val="left"/>
        <w:rPr/>
      </w:pPr>
      <w:r w:rsidRPr="01AA9DFE" w:rsidR="01AA9D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t xml:space="preserve">Explain how a data warehouse differs from operational source systems and identify facts, dimensions, and analytical measures.</w:t>
      </w:r>
    </w:p>
    <w:p xmlns:wp14="http://schemas.microsoft.com/office/word/2010/wordml" w:rsidP="01AA9DFE" w:rsidRDefault="00000000" w14:paraId="0000001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360" w:right="0" w:hanging="360"/>
        <w:jc w:val="left"/>
        <w:rPr/>
      </w:pPr>
      <w:r w:rsidRPr="01AA9DFE" w:rsidR="01AA9D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t xml:space="preserve">Design an ETL pipeline that extracts heterogeneous data, transforms it into a consistent schema, validates quality, and loads it into a warehouse.</w:t>
      </w:r>
    </w:p>
    <w:p xmlns:wp14="http://schemas.microsoft.com/office/word/2010/wordml" w:rsidP="01AA9DFE" w:rsidRDefault="00000000" w14:paraId="0000001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360" w:right="0" w:hanging="360"/>
        <w:jc w:val="left"/>
        <w:rPr/>
      </w:pPr>
      <w:r w:rsidRPr="01AA9DFE" w:rsidR="01AA9D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t xml:space="preserve">Identify data-integration challenges such as schema mismatch, duplicates, missing values, inconsistent labels, class imbalance, and provenance.</w:t>
      </w:r>
    </w:p>
    <w:p xmlns:wp14="http://schemas.microsoft.com/office/word/2010/wordml" w:rsidP="01AA9DFE" w:rsidRDefault="00000000" w14:paraId="0000001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360" w:right="0" w:hanging="360"/>
        <w:jc w:val="left"/>
        <w:rPr/>
      </w:pPr>
      <w:r w:rsidRPr="01AA9DFE" w:rsidR="01AA9D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t xml:space="preserve">Use SQL, </w:t>
      </w:r>
      <w:r w:rsidRPr="01AA9DFE" w:rsidR="01AA9DFE">
        <w:rPr>
          <w:lang w:val="en-US"/>
        </w:rPr>
        <w:t xml:space="preserve">Python libraries</w:t>
      </w:r>
      <w:r w:rsidRPr="01AA9DFE" w:rsidR="01AA9D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t xml:space="preserve"> to verify the warehouse and produce analytical queries relevant to vulnerability-detection research.</w:t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36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pStyle w:val="Heading1"/>
        <w:rPr/>
      </w:pPr>
      <w:r>
        <w:rPr>
          <w:rtl w:val="0"/>
        </w:rPr>
        <w:t xml:space="preserve">3. Connection to the research article</w:t>
      </w:r>
    </w:p>
    <w:p xmlns:wp14="http://schemas.microsoft.com/office/word/2010/wordml" w:rsidRDefault="00000000" w14:paraId="00000019" wp14:textId="77777777">
      <w:pPr/>
      <w:r w:rsidRPr="01AA9DFE" w:rsidR="01AA9DFE">
        <w:rPr>
          <w:lang w:val="en-US"/>
        </w:rPr>
        <w:t>The article studies binary classification of Java functions as vulnerable or non-vulnerable and combines several vulnerability-data sources. The authors construct their data from CVEfixes, a manually curated dataset, and VCMatch. They also describe filtering and labeling procedures and create balanced and strongly imbalanced variants of the dataset. These characteristics make the paper a useful case study for ETL and data integration: before model training, data from heterogeneous sources must be extracted, standardized, cleaned, labeled, integrated, split, and made traceable.</w:t>
      </w:r>
    </w:p>
    <w:tbl>
      <w:tblPr>
        <w:tblStyle w:val="Table2"/>
        <w:tblW w:w="10080" w:type="dxa"/>
        <w:jc w:val="center"/>
        <w:tblLayout w:type="fixed"/>
        <w:tblLook w:val="0400"/>
        <w:tblPrChange w:author="" w:id="1270640345">
          <w:tblPr/>
        </w:tblPrChange>
      </w:tblPr>
      <w:tblGrid>
        <w:gridCol w:w="10080"/>
      </w:tblGrid>
      <w:tr xmlns:wp14="http://schemas.microsoft.com/office/word/2010/wordml" w:rsidTr="01AA9DFE" w14:paraId="55B89FEA" wp14:textId="77777777">
        <w:trPr>
          <w:cantSplit w:val="0"/>
          <w:tblHeader w:val="0"/>
        </w:trPr>
        <w:tc>
          <w:tcPr>
            <w:shd w:val="clear" w:color="auto" w:fill="EEF5FB"/>
            <w:tcMar>
              <w:top w:w="140.0" w:type="dxa"/>
              <w:bottom w:w="140.0" w:type="dxa"/>
            </w:tcMar>
          </w:tcPr>
          <w:p w:rsidRDefault="00000000" w14:paraId="0000001A" wp14:textId="77777777">
            <w:pPr/>
            <w:r w:rsidRPr="01AA9DFE" w:rsidR="01AA9DFE">
              <w:rPr>
                <w:b w:val="1"/>
                <w:bCs w:val="1"/>
                <w:color w:val="1f4e79"/>
                <w:lang w:val="en-US"/>
              </w:rPr>
              <w:t xml:space="preserve">Research-to-ETL mapping:  Source datasets → extraction → label/schema harmonization → quality filtering → integrated vulnerability warehouse → balanced/imbalanced analytical views → ML-ready export.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B" wp14:textId="77777777">
      <w:pPr>
        <w:pStyle w:val="Heading1"/>
        <w:rPr/>
      </w:pPr>
      <w:r>
        <w:rPr>
          <w:rtl w:val="0"/>
        </w:rPr>
        <w:t xml:space="preserve">4. Scenario</w:t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  <w:t xml:space="preserve">You are a data engineer in a university AI &amp; Cybersecurity laboratory. Researchers collect vulnerability examples from several systems, but each source uses a different structure. Your task is to create a small warehouse and ETL workflow that produces a consistent, auditable dataset for later vulnerability-detection experiments.</w:t>
      </w:r>
    </w:p>
    <w:p xmlns:wp14="http://schemas.microsoft.com/office/word/2010/wordml" w:rsidRDefault="00000000" w14:paraId="0000001D" wp14:textId="77777777">
      <w:pPr>
        <w:pStyle w:val="Heading1"/>
        <w:rPr/>
      </w:pPr>
      <w:r>
        <w:rPr>
          <w:rtl w:val="0"/>
        </w:rPr>
        <w:t xml:space="preserve">5. Input data</w:t>
      </w:r>
    </w:p>
    <w:p xmlns:wp14="http://schemas.microsoft.com/office/word/2010/wordml" w:rsidRDefault="00000000" w14:paraId="0000001E" wp14:textId="77777777">
      <w:pPr/>
      <w:r w:rsidRPr="01AA9DFE" w:rsidR="01AA9DFE">
        <w:rPr>
          <w:lang w:val="en-US"/>
        </w:rPr>
        <w:t>Use datasets from research article : https://github.com/rmusab/vul-llm-finetune/tree/main/Datasets</w:t>
      </w:r>
    </w:p>
    <w:p xmlns:wp14="http://schemas.microsoft.com/office/word/2010/wordml" w:rsidRDefault="00000000" w14:paraId="0000001F" wp14:textId="77777777">
      <w:pPr>
        <w:pStyle w:val="Heading1"/>
        <w:rPr/>
      </w:pPr>
      <w:r>
        <w:rPr>
          <w:rtl w:val="0"/>
        </w:rPr>
        <w:t xml:space="preserve">6</w:t>
      </w:r>
      <w:r>
        <w:rPr>
          <w:rtl w:val="0"/>
        </w:rPr>
        <w:t xml:space="preserve">. Laboratory tasks</w:t>
      </w:r>
    </w:p>
    <w:p xmlns:wp14="http://schemas.microsoft.com/office/word/2010/wordml" w:rsidRDefault="00000000" w14:paraId="00000020" wp14:textId="77777777">
      <w:pPr>
        <w:pStyle w:val="Heading2"/>
      </w:pPr>
      <w:r w:rsidRPr="01AA9DFE" w:rsidR="01AA9DFE">
        <w:rPr>
          <w:lang w:val="en-US"/>
        </w:rPr>
        <w:t xml:space="preserve">Task 1 — Read and analyse the paper </w:t>
      </w:r>
    </w:p>
    <w:p xmlns:wp14="http://schemas.microsoft.com/office/word/2010/wordml" w:rsidRDefault="00000000" w14:paraId="00000021" wp14:textId="77777777">
      <w:pPr/>
      <w:r w:rsidRPr="01AA9DFE" w:rsidR="01AA9DFE">
        <w:rPr>
          <w:lang w:val="en-US"/>
        </w:rPr>
        <w:t>Identify: (a) the vulnerability-detection target, (b) the source datasets used by the authors, (c) the meaning of vulnerable/non-vulnerable labels, (d) the role of P1, P2 and P3, and (e) why class imbalance is an important data problem. Write a 100 word summary in your report.</w:t>
      </w:r>
    </w:p>
    <w:p xmlns:wp14="http://schemas.microsoft.com/office/word/2010/wordml" w:rsidRDefault="00000000" w14:paraId="00000022" wp14:textId="77777777">
      <w:pPr>
        <w:pStyle w:val="Heading2"/>
        <w:rPr/>
      </w:pPr>
      <w:r>
        <w:rPr>
          <w:rtl w:val="0"/>
        </w:rPr>
        <w:t xml:space="preserve">Task 2 — Design the data warehouse</w:t>
      </w:r>
    </w:p>
    <w:p xmlns:wp14="http://schemas.microsoft.com/office/word/2010/wordml" w:rsidRDefault="00000000" w14:paraId="00000023" wp14:textId="77777777">
      <w:pPr/>
      <w:r w:rsidRPr="01AA9DFE" w:rsidR="01AA9DFE">
        <w:rPr>
          <w:lang w:val="en-US"/>
        </w:rPr>
        <w:t>Draw a source-to-target architecture and the star schema. Clearly show source systems, staging, ETL/data-flow layer, warehouse, and analytical/ML consumer.</w:t>
      </w:r>
    </w:p>
    <w:p xmlns:wp14="http://schemas.microsoft.com/office/word/2010/wordml" w:rsidRDefault="00000000" w14:paraId="00000024" wp14:textId="77777777">
      <w:pPr>
        <w:pStyle w:val="Heading2"/>
        <w:rPr/>
      </w:pPr>
      <w:r>
        <w:rPr>
          <w:rtl w:val="0"/>
        </w:rPr>
        <w:t xml:space="preserve">Task 3 — Extract</w:t>
      </w:r>
    </w:p>
    <w:p xmlns:wp14="http://schemas.microsoft.com/office/word/2010/wordml" w:rsidRDefault="00000000" w14:paraId="00000025" wp14:textId="77777777">
      <w:pPr/>
      <w:r w:rsidRPr="01AA9DFE" w:rsidR="01AA9DFE">
        <w:rPr>
          <w:lang w:val="en-US"/>
        </w:rPr>
        <w:t xml:space="preserve">Use Python to extract two different formats (for example CSV or  JSON). Use datasets from research article : </w:t>
      </w:r>
      <w:hyperlink r:id="Rfcf86db7c96d41d5">
        <w:r w:rsidRPr="01AA9DFE" w:rsidR="01AA9DFE">
          <w:rPr>
            <w:color w:val="1155CC"/>
            <w:u w:val="single"/>
            <w:lang w:val="en-US"/>
          </w:rPr>
          <w:t>https://github.com/rmusab/vul-llm-finetune/tree/main/Datasets</w:t>
        </w:r>
      </w:hyperlink>
      <w:r w:rsidRPr="01AA9DFE" w:rsidR="01AA9DFE">
        <w:rPr>
          <w:lang w:val="en-US"/>
        </w:rPr>
        <w:t xml:space="preserve">. </w:t>
      </w:r>
    </w:p>
    <w:p xmlns:wp14="http://schemas.microsoft.com/office/word/2010/wordml" w:rsidRDefault="00000000" w14:paraId="00000026" wp14:textId="77777777">
      <w:pPr>
        <w:rPr/>
      </w:pPr>
      <w:r>
        <w:rPr>
          <w:rtl w:val="0"/>
        </w:rPr>
        <w:t xml:space="preserve">Keep the original raw values in staging tables or files so that transformations are traceable.</w:t>
      </w:r>
    </w:p>
    <w:p xmlns:wp14="http://schemas.microsoft.com/office/word/2010/wordml" w:rsidRDefault="00000000" w14:paraId="00000027" wp14:textId="77777777">
      <w:pPr>
        <w:pStyle w:val="Heading2"/>
        <w:rPr/>
      </w:pPr>
      <w:r>
        <w:rPr>
          <w:rtl w:val="0"/>
        </w:rPr>
        <w:t xml:space="preserve">Task 4 — Transform and integrate</w:t>
      </w:r>
    </w:p>
    <w:p xmlns:wp14="http://schemas.microsoft.com/office/word/2010/wordml" w:rsidRDefault="00000000" w14:paraId="00000028" wp14:textId="77777777">
      <w:pPr/>
      <w:r w:rsidRPr="01AA9DFE" w:rsidR="01AA9DFE">
        <w:rPr>
          <w:lang w:val="en-US"/>
        </w:rPr>
        <w:t>Standardize column names; convert Yes/No and 1/0 to one Boolean representation; normalize project names; handle missing values; remove or flag duplicates; calculate code_length; validate allowed values for P1/P2/P3 and train/validation/test; create surrogate keys for dimensions.</w:t>
      </w:r>
    </w:p>
    <w:p xmlns:wp14="http://schemas.microsoft.com/office/word/2010/wordml" w:rsidRDefault="00000000" w14:paraId="00000029" wp14:textId="77777777">
      <w:pPr>
        <w:pStyle w:val="Heading2"/>
        <w:rPr/>
      </w:pPr>
      <w:r>
        <w:rPr>
          <w:rtl w:val="0"/>
        </w:rPr>
        <w:t xml:space="preserve">Task 5 — Load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  <w:t xml:space="preserve">Load dimensions first and then the fact table. Demonstrate either a full load or an incremental load.</w:t>
      </w:r>
    </w:p>
    <w:p xmlns:wp14="http://schemas.microsoft.com/office/word/2010/wordml" w:rsidRDefault="00000000" w14:paraId="0000002B" wp14:textId="77777777">
      <w:pPr>
        <w:pStyle w:val="Heading2"/>
        <w:rPr/>
      </w:pPr>
      <w:r>
        <w:rPr>
          <w:rtl w:val="0"/>
        </w:rPr>
        <w:t xml:space="preserve">Task 6 — Data-quality checks</w:t>
      </w:r>
    </w:p>
    <w:p xmlns:wp14="http://schemas.microsoft.com/office/word/2010/wordml" w:rsidRDefault="00000000" w14:paraId="0000002C" wp14:textId="77777777">
      <w:pPr/>
      <w:r w:rsidRPr="01AA9DFE" w:rsidR="01AA9DFE">
        <w:rPr>
          <w:lang w:val="en-US"/>
        </w:rPr>
        <w:t>Create at least five checks: unique record/sample ID; non-null vulnerability label; valid split; valid dataset partition;. Add one additional check of your choice.</w:t>
      </w:r>
    </w:p>
    <w:p xmlns:wp14="http://schemas.microsoft.com/office/word/2010/wordml" w:rsidRDefault="00000000" w14:paraId="0000002D" wp14:textId="77777777">
      <w:pPr>
        <w:pStyle w:val="Heading2"/>
        <w:rPr/>
      </w:pPr>
      <w:r>
        <w:rPr>
          <w:rtl w:val="0"/>
        </w:rPr>
        <w:t xml:space="preserve">Task 7 — Analytical SQL</w:t>
      </w:r>
    </w:p>
    <w:p xmlns:wp14="http://schemas.microsoft.com/office/word/2010/wordml" w:rsidRDefault="00000000" w14:paraId="0000002E" wp14:textId="77777777">
      <w:pPr>
        <w:rPr/>
      </w:pPr>
      <w:r>
        <w:rPr>
          <w:rtl w:val="0"/>
        </w:rPr>
        <w:t xml:space="preserve">Write queries that: (1) count vulnerable vs non-vulnerable samples; (2) calculate class ratio by dataset part; (3) count samples by source; (4) show top categories; (5) compare train/validation/test distributions; (6) identify missing/unknown records.</w:t>
      </w:r>
    </w:p>
    <w:p xmlns:wp14="http://schemas.microsoft.com/office/word/2010/wordml" w:rsidRDefault="00000000" w14:paraId="0000002F" wp14:textId="77777777">
      <w:pPr>
        <w:pStyle w:val="Heading2"/>
        <w:rPr/>
      </w:pPr>
      <w:r>
        <w:rPr>
          <w:rtl w:val="0"/>
        </w:rPr>
        <w:t xml:space="preserve">Task 8 — Research interpretation</w:t>
      </w:r>
    </w:p>
    <w:p xmlns:wp14="http://schemas.microsoft.com/office/word/2010/wordml" w:rsidRDefault="00000000" w14:paraId="00000030" wp14:textId="77777777">
      <w:pPr>
        <w:rPr/>
      </w:pPr>
      <w:r>
        <w:rPr>
          <w:rtl w:val="0"/>
        </w:rPr>
        <w:t xml:space="preserve">Explain which ETL decisions could change an ML experiment. Discuss at least three: label errors, duplicates/data leakage, class imbalance, inconsistent project identifiers, missing values, or incorrect train/test integration.</w:t>
      </w:r>
    </w:p>
    <w:p xmlns:wp14="http://schemas.microsoft.com/office/word/2010/wordml" w:rsidRDefault="00000000" w14:paraId="0000003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pStyle w:val="Heading1"/>
        <w:rPr/>
      </w:pPr>
      <w:r>
        <w:rPr>
          <w:rtl w:val="0"/>
        </w:rPr>
        <w:t xml:space="preserve">7</w:t>
      </w:r>
      <w:r>
        <w:rPr>
          <w:rtl w:val="0"/>
        </w:rPr>
        <w:t xml:space="preserve">. Expected report structure</w:t>
      </w:r>
    </w:p>
    <w:p xmlns:wp14="http://schemas.microsoft.com/office/word/2010/wordml" w:rsidRDefault="00000000" w14:paraId="00000033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Title page</w:t>
      </w:r>
    </w:p>
    <w:p xmlns:wp14="http://schemas.microsoft.com/office/word/2010/wordml" w:rsidRDefault="00000000" w14:paraId="00000034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Objective and learning outcomes</w:t>
      </w:r>
    </w:p>
    <w:p xmlns:wp14="http://schemas.microsoft.com/office/word/2010/wordml" w:rsidRDefault="00000000" w14:paraId="00000035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Short article analysis</w:t>
      </w:r>
    </w:p>
    <w:p xmlns:wp14="http://schemas.microsoft.com/office/word/2010/wordml" w:rsidRDefault="00000000" w14:paraId="00000036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Source-data description</w:t>
      </w:r>
    </w:p>
    <w:p xmlns:wp14="http://schemas.microsoft.com/office/word/2010/wordml" w:rsidRDefault="00000000" w14:paraId="00000037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Warehouse/star-schema diagram</w:t>
      </w:r>
    </w:p>
    <w:p xmlns:wp14="http://schemas.microsoft.com/office/word/2010/wordml" w:rsidRDefault="00000000" w14:paraId="00000038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ETL workflow and screenshots</w:t>
      </w:r>
    </w:p>
    <w:p xmlns:wp14="http://schemas.microsoft.com/office/word/2010/wordml" w:rsidRDefault="00000000" w14:paraId="00000039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Transformation and data-quality rules</w:t>
      </w:r>
    </w:p>
    <w:p xmlns:wp14="http://schemas.microsoft.com/office/word/2010/wordml" w:rsidRDefault="00000000" w14:paraId="0000003A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SQL queries and results</w:t>
      </w:r>
    </w:p>
    <w:p xmlns:wp14="http://schemas.microsoft.com/office/word/2010/wordml" w:rsidRDefault="00000000" w14:paraId="0000003B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360" w:right="0" w:hanging="360"/>
        <w:jc w:val="left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Conclusion</w:t>
      </w:r>
    </w:p>
    <w:p xmlns:wp14="http://schemas.microsoft.com/office/word/2010/wordml" w:rsidRDefault="00000000" w14:paraId="0000003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D" wp14:textId="77777777">
      <w:pPr>
        <w:pStyle w:val="Heading1"/>
        <w:rPr/>
      </w:pPr>
      <w:r>
        <w:rPr>
          <w:rtl w:val="0"/>
        </w:rPr>
        <w:t xml:space="preserve">8. Reference</w:t>
      </w:r>
    </w:p>
    <w:p xmlns:wp14="http://schemas.microsoft.com/office/word/2010/wordml" w:rsidRDefault="00000000" w14:paraId="0000003E" wp14:textId="77777777">
      <w:pPr/>
      <w:r w:rsidRPr="01AA9DFE" w:rsidR="01AA9DFE">
        <w:rPr>
          <w:lang w:val="en-US"/>
        </w:rPr>
        <w:t>Shestov, A., Levichev, R., Mussabayev, R., Maslov, E., Zadorozhny, P., Cheshkov, A., Mussabayev, R., Toleu, A., Tolegen, G., &amp; Krassovitskiy, A. (2025). Finetuning Large Language Models for Vulnerability Detection. IEEE Access, 13. https://doi.org/10.1109/ACCESS.2025.3546700</w:t>
      </w:r>
    </w:p>
    <w:p xmlns:wp14="http://schemas.microsoft.com/office/word/2010/wordml" w:rsidRDefault="00000000" w14:paraId="0000003F" wp14:textId="77777777">
      <w:pPr>
        <w:rPr/>
      </w:pPr>
      <w:r>
        <w:rPr>
          <w:rtl w:val="0"/>
        </w:rPr>
      </w:r>
    </w:p>
    <w:sectPr>
      <w:footerReference w:type="default" r:id="rId8"/>
      <w:pgSz w:w="12240" w:h="15840" w:orient="portrait"/>
      <w:pgMar w:top="936" w:right="1080" w:bottom="936" w:left="108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w:subsetted="0" r:id="rId1"/>
    <w:embedBold w:fontKey="{00000000-0000-0000-0000-000000000000}" w:subsetted="0" r:id="rId2"/>
  </w:font>
  <w:font w:name="Noto Sans Symbols">
    <w:embedRegular w:fontKey="{00000000-0000-0000-0000-000000000000}" w:subsetted="0" r:id="rId3"/>
    <w:embedBold w:fontKey="{00000000-0000-0000-0000-000000000000}" w:subsetted="0" r:id="rId4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40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center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val="clear" w:fill="auto"/>
        <w:vertAlign w:val="baseline"/>
        <w:rtl w:val="0"/>
      </w:rPr>
      <w:t xml:space="preserve">Laboratory Work 4 • Organizational Data Warehousing and ETL</w:t>
    </w: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20d00d39"/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25dca9fd"/>
  </w:abstractNum>
  <w:abstractNum w:abstractNumId="3">
    <w:nsid w:val="2C3B0E1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28D0C079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3659EDA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">
    <w:nsid w:val="2E94314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1"/>
  </w:num>
  <w:num w:numId="2">
    <w:abstractNumId w:val="2"/>
  </w:num>
  <w:num w:numId="3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A1260CF"/>
  <w15:docId w15:val="{6FDAC245-EBB3-4018-825A-3AF6CCD4B8F1}"/>
  <w:rsids>
    <w:rsidRoot w:val="01AA9DFE"/>
    <w:rsid w:val="01AA9DF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Play" w:hAnsi="Play" w:eastAsia="Play" w:cs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Play" w:hAnsi="Play" w:eastAsia="Play" w:cs="Play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val="single" w:color="4f81bd" w:sz="8" w:space="4"/>
      </w:pBdr>
      <w:spacing w:after="300" w:line="240" w:lineRule="auto"/>
    </w:pPr>
    <w:rPr>
      <w:rFonts w:ascii="Play" w:hAnsi="Play" w:eastAsia="Play" w:cs="Play"/>
      <w:b w:val="1"/>
      <w:bCs w:val="1"/>
      <w:color w:val="17365d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0000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0000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0000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0000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0000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0000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0000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0000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0000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0000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0000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0000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0000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0000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0000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0000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0000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0000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0000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0000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0000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0000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0000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0000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0000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0000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0000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0000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404040" w:themeColor="text1" w:themeTint="0000BF" w:sz="8" w:space="0"/>
        <w:left w:val="single" w:color="404040" w:themeColor="text1" w:themeTint="0000BF" w:sz="8" w:space="0"/>
        <w:bottom w:val="single" w:color="404040" w:themeColor="text1" w:themeTint="0000BF" w:sz="8" w:space="0"/>
        <w:right w:val="single" w:color="404040" w:themeColor="text1" w:themeTint="0000BF" w:sz="8" w:space="0"/>
        <w:insideH w:val="single" w:color="404040" w:themeColor="text1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0000BF" w:sz="8" w:space="0"/>
          <w:left w:val="single" w:color="404040" w:themeColor="text1" w:themeTint="0000BF" w:sz="8" w:space="0"/>
          <w:bottom w:val="single" w:color="404040" w:themeColor="text1" w:themeTint="0000BF" w:sz="8" w:space="0"/>
          <w:right w:val="single" w:color="404040" w:themeColor="text1" w:themeTint="0000BF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0000BF" w:sz="6" w:space="0"/>
          <w:left w:val="single" w:color="404040" w:themeColor="text1" w:themeTint="0000BF" w:sz="8" w:space="0"/>
          <w:bottom w:val="single" w:color="404040" w:themeColor="text1" w:themeTint="0000BF" w:sz="8" w:space="0"/>
          <w:right w:val="single" w:color="404040" w:themeColor="text1" w:themeTint="0000BF" w:sz="8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0000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0000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7ba0cd" w:themeColor="accent1" w:themeTint="0000BF" w:sz="8" w:space="0"/>
        <w:left w:val="single" w:color="7ba0cd" w:themeColor="accent1" w:themeTint="0000BF" w:sz="8" w:space="0"/>
        <w:bottom w:val="single" w:color="7ba0cd" w:themeColor="accent1" w:themeTint="0000BF" w:sz="8" w:space="0"/>
        <w:right w:val="single" w:color="7ba0cd" w:themeColor="accent1" w:themeTint="0000BF" w:sz="8" w:space="0"/>
        <w:insideH w:val="single" w:color="7ba0cd" w:themeColor="accent1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0000BF" w:sz="8" w:space="0"/>
          <w:left w:val="single" w:color="7ba0cd" w:themeColor="accent1" w:themeTint="0000BF" w:sz="8" w:space="0"/>
          <w:bottom w:val="single" w:color="7ba0cd" w:themeColor="accent1" w:themeTint="0000BF" w:sz="8" w:space="0"/>
          <w:right w:val="single" w:color="7ba0cd" w:themeColor="accent1" w:themeTint="0000BF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0000BF" w:sz="6" w:space="0"/>
          <w:left w:val="single" w:color="7ba0cd" w:themeColor="accent1" w:themeTint="0000BF" w:sz="8" w:space="0"/>
          <w:bottom w:val="single" w:color="7ba0cd" w:themeColor="accent1" w:themeTint="0000BF" w:sz="8" w:space="0"/>
          <w:right w:val="single" w:color="7ba0cd" w:themeColor="accent1" w:themeTint="0000BF" w:sz="8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0000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0000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cf7b79" w:themeColor="accent2" w:themeTint="0000BF" w:sz="8" w:space="0"/>
        <w:left w:val="single" w:color="cf7b79" w:themeColor="accent2" w:themeTint="0000BF" w:sz="8" w:space="0"/>
        <w:bottom w:val="single" w:color="cf7b79" w:themeColor="accent2" w:themeTint="0000BF" w:sz="8" w:space="0"/>
        <w:right w:val="single" w:color="cf7b79" w:themeColor="accent2" w:themeTint="0000BF" w:sz="8" w:space="0"/>
        <w:insideH w:val="single" w:color="cf7b79" w:themeColor="accent2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0000BF" w:sz="8" w:space="0"/>
          <w:left w:val="single" w:color="cf7b79" w:themeColor="accent2" w:themeTint="0000BF" w:sz="8" w:space="0"/>
          <w:bottom w:val="single" w:color="cf7b79" w:themeColor="accent2" w:themeTint="0000BF" w:sz="8" w:space="0"/>
          <w:right w:val="single" w:color="cf7b79" w:themeColor="accent2" w:themeTint="0000BF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0000BF" w:sz="6" w:space="0"/>
          <w:left w:val="single" w:color="cf7b79" w:themeColor="accent2" w:themeTint="0000BF" w:sz="8" w:space="0"/>
          <w:bottom w:val="single" w:color="cf7b79" w:themeColor="accent2" w:themeTint="0000BF" w:sz="8" w:space="0"/>
          <w:right w:val="single" w:color="cf7b79" w:themeColor="accent2" w:themeTint="0000BF" w:sz="8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0000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0000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b3cc82" w:themeColor="accent3" w:themeTint="0000BF" w:sz="8" w:space="0"/>
        <w:left w:val="single" w:color="b3cc82" w:themeColor="accent3" w:themeTint="0000BF" w:sz="8" w:space="0"/>
        <w:bottom w:val="single" w:color="b3cc82" w:themeColor="accent3" w:themeTint="0000BF" w:sz="8" w:space="0"/>
        <w:right w:val="single" w:color="b3cc82" w:themeColor="accent3" w:themeTint="0000BF" w:sz="8" w:space="0"/>
        <w:insideH w:val="single" w:color="b3cc82" w:themeColor="accent3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0000BF" w:sz="8" w:space="0"/>
          <w:left w:val="single" w:color="b3cc82" w:themeColor="accent3" w:themeTint="0000BF" w:sz="8" w:space="0"/>
          <w:bottom w:val="single" w:color="b3cc82" w:themeColor="accent3" w:themeTint="0000BF" w:sz="8" w:space="0"/>
          <w:right w:val="single" w:color="b3cc82" w:themeColor="accent3" w:themeTint="0000BF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0000BF" w:sz="6" w:space="0"/>
          <w:left w:val="single" w:color="b3cc82" w:themeColor="accent3" w:themeTint="0000BF" w:sz="8" w:space="0"/>
          <w:bottom w:val="single" w:color="b3cc82" w:themeColor="accent3" w:themeTint="0000BF" w:sz="8" w:space="0"/>
          <w:right w:val="single" w:color="b3cc82" w:themeColor="accent3" w:themeTint="0000BF" w:sz="8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0000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0000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9f8ab9" w:themeColor="accent4" w:themeTint="0000BF" w:sz="8" w:space="0"/>
        <w:left w:val="single" w:color="9f8ab9" w:themeColor="accent4" w:themeTint="0000BF" w:sz="8" w:space="0"/>
        <w:bottom w:val="single" w:color="9f8ab9" w:themeColor="accent4" w:themeTint="0000BF" w:sz="8" w:space="0"/>
        <w:right w:val="single" w:color="9f8ab9" w:themeColor="accent4" w:themeTint="0000BF" w:sz="8" w:space="0"/>
        <w:insideH w:val="single" w:color="9f8ab9" w:themeColor="accent4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0000BF" w:sz="8" w:space="0"/>
          <w:left w:val="single" w:color="9f8ab9" w:themeColor="accent4" w:themeTint="0000BF" w:sz="8" w:space="0"/>
          <w:bottom w:val="single" w:color="9f8ab9" w:themeColor="accent4" w:themeTint="0000BF" w:sz="8" w:space="0"/>
          <w:right w:val="single" w:color="9f8ab9" w:themeColor="accent4" w:themeTint="0000BF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0000BF" w:sz="6" w:space="0"/>
          <w:left w:val="single" w:color="9f8ab9" w:themeColor="accent4" w:themeTint="0000BF" w:sz="8" w:space="0"/>
          <w:bottom w:val="single" w:color="9f8ab9" w:themeColor="accent4" w:themeTint="0000BF" w:sz="8" w:space="0"/>
          <w:right w:val="single" w:color="9f8ab9" w:themeColor="accent4" w:themeTint="0000BF" w:sz="8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0000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0000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78c0d4" w:themeColor="accent5" w:themeTint="0000BF" w:sz="8" w:space="0"/>
        <w:left w:val="single" w:color="78c0d4" w:themeColor="accent5" w:themeTint="0000BF" w:sz="8" w:space="0"/>
        <w:bottom w:val="single" w:color="78c0d4" w:themeColor="accent5" w:themeTint="0000BF" w:sz="8" w:space="0"/>
        <w:right w:val="single" w:color="78c0d4" w:themeColor="accent5" w:themeTint="0000BF" w:sz="8" w:space="0"/>
        <w:insideH w:val="single" w:color="78c0d4" w:themeColor="accent5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0000BF" w:sz="8" w:space="0"/>
          <w:left w:val="single" w:color="78c0d4" w:themeColor="accent5" w:themeTint="0000BF" w:sz="8" w:space="0"/>
          <w:bottom w:val="single" w:color="78c0d4" w:themeColor="accent5" w:themeTint="0000BF" w:sz="8" w:space="0"/>
          <w:right w:val="single" w:color="78c0d4" w:themeColor="accent5" w:themeTint="0000BF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0000BF" w:sz="6" w:space="0"/>
          <w:left w:val="single" w:color="78c0d4" w:themeColor="accent5" w:themeTint="0000BF" w:sz="8" w:space="0"/>
          <w:bottom w:val="single" w:color="78c0d4" w:themeColor="accent5" w:themeTint="0000BF" w:sz="8" w:space="0"/>
          <w:right w:val="single" w:color="78c0d4" w:themeColor="accent5" w:themeTint="0000BF" w:sz="8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0000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0000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9b074" w:themeColor="accent6" w:themeTint="0000BF" w:sz="8" w:space="0"/>
        <w:left w:val="single" w:color="f9b074" w:themeColor="accent6" w:themeTint="0000BF" w:sz="8" w:space="0"/>
        <w:bottom w:val="single" w:color="f9b074" w:themeColor="accent6" w:themeTint="0000BF" w:sz="8" w:space="0"/>
        <w:right w:val="single" w:color="f9b074" w:themeColor="accent6" w:themeTint="0000BF" w:sz="8" w:space="0"/>
        <w:insideH w:val="single" w:color="f9b074" w:themeColor="accent6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0000BF" w:sz="8" w:space="0"/>
          <w:left w:val="single" w:color="f9b074" w:themeColor="accent6" w:themeTint="0000BF" w:sz="8" w:space="0"/>
          <w:bottom w:val="single" w:color="f9b074" w:themeColor="accent6" w:themeTint="0000BF" w:sz="8" w:space="0"/>
          <w:right w:val="single" w:color="f9b074" w:themeColor="accent6" w:themeTint="0000BF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0000BF" w:sz="6" w:space="0"/>
          <w:left w:val="single" w:color="f9b074" w:themeColor="accent6" w:themeTint="0000BF" w:sz="8" w:space="0"/>
          <w:bottom w:val="single" w:color="f9b074" w:themeColor="accent6" w:themeTint="0000BF" w:sz="8" w:space="0"/>
          <w:right w:val="single" w:color="f9b074" w:themeColor="accent6" w:themeTint="0000BF" w:sz="8" w:space="0"/>
          <w:insideH w:val="nil" w:sz="0" w:space="0"/>
          <w:insideV w:val="nil" w:sz="0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0000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0000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auto" w:sz="18" w:space="0"/>
        <w:bottom w:val="single" w:color="auto" w:sz="1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auto" w:sz="18" w:space="0"/>
        <w:bottom w:val="single" w:color="auto" w:sz="1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auto" w:sz="18" w:space="0"/>
        <w:bottom w:val="single" w:color="auto" w:sz="1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auto" w:sz="18" w:space="0"/>
        <w:bottom w:val="single" w:color="auto" w:sz="1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auto" w:sz="18" w:space="0"/>
        <w:bottom w:val="single" w:color="auto" w:sz="1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auto" w:sz="18" w:space="0"/>
        <w:bottom w:val="single" w:color="auto" w:sz="1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auto" w:sz="18" w:space="0"/>
        <w:bottom w:val="single" w:color="auto" w:sz="1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00003F"/>
      </w:tcPr>
    </w:tblStylePr>
    <w:tblStylePr w:type="band1Horz">
      <w:tblPr/>
      <w:tcPr>
        <w:shd w:val="clear" w:color="auto" w:fill="c0c0c0" w:themeFill="text1" w:themeFillTint="0000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00003F"/>
      </w:tcPr>
    </w:tblStylePr>
    <w:tblStylePr w:type="band1Horz">
      <w:tblPr/>
      <w:tcPr>
        <w:shd w:val="clear" w:color="auto" w:fill="d3dfee" w:themeFill="accent1" w:themeFillTint="0000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00003F"/>
      </w:tcPr>
    </w:tblStylePr>
    <w:tblStylePr w:type="band1Horz">
      <w:tblPr/>
      <w:tcPr>
        <w:shd w:val="clear" w:color="auto" w:fill="efd3d2" w:themeFill="accent2" w:themeFillTint="0000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00003F"/>
      </w:tcPr>
    </w:tblStylePr>
    <w:tblStylePr w:type="band1Horz">
      <w:tblPr/>
      <w:tcPr>
        <w:shd w:val="clear" w:color="auto" w:fill="e6eed5" w:themeFill="accent3" w:themeFillTint="0000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00003F"/>
      </w:tcPr>
    </w:tblStylePr>
    <w:tblStylePr w:type="band1Horz">
      <w:tblPr/>
      <w:tcPr>
        <w:shd w:val="clear" w:color="auto" w:fill="dfd8e8" w:themeFill="accent4" w:themeFillTint="0000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00003F"/>
      </w:tcPr>
    </w:tblStylePr>
    <w:tblStylePr w:type="band1Horz">
      <w:tblPr/>
      <w:tcPr>
        <w:shd w:val="clear" w:color="auto" w:fill="d2eaf1" w:themeFill="accent5" w:themeFillTint="0000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00003F"/>
      </w:tcPr>
    </w:tblStylePr>
    <w:tblStylePr w:type="band1Horz">
      <w:tblPr/>
      <w:tcPr>
        <w:shd w:val="clear" w:color="auto" w:fill="fde4d0" w:themeFill="accent6" w:themeFillTint="0000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0000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0000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0000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0000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0000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0000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0000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404040" w:themeColor="text1" w:themeTint="0000BF" w:sz="8" w:space="0"/>
        <w:left w:val="single" w:color="404040" w:themeColor="text1" w:themeTint="0000BF" w:sz="8" w:space="0"/>
        <w:bottom w:val="single" w:color="404040" w:themeColor="text1" w:themeTint="0000BF" w:sz="8" w:space="0"/>
        <w:right w:val="single" w:color="404040" w:themeColor="text1" w:themeTint="0000BF" w:sz="8" w:space="0"/>
        <w:insideH w:val="single" w:color="404040" w:themeColor="text1" w:themeTint="0000BF" w:sz="8" w:space="0"/>
        <w:insideV w:val="single" w:color="404040" w:themeColor="text1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c0c0c0" w:themeFill="text1" w:themeFillTint="0000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0000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shd w:val="clear" w:color="auto" w:fill="808080" w:themeFill="text1" w:themeFillTint="0000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7ba0cd" w:themeColor="accent1" w:themeTint="0000BF" w:sz="8" w:space="0"/>
        <w:left w:val="single" w:color="7ba0cd" w:themeColor="accent1" w:themeTint="0000BF" w:sz="8" w:space="0"/>
        <w:bottom w:val="single" w:color="7ba0cd" w:themeColor="accent1" w:themeTint="0000BF" w:sz="8" w:space="0"/>
        <w:right w:val="single" w:color="7ba0cd" w:themeColor="accent1" w:themeTint="0000BF" w:sz="8" w:space="0"/>
        <w:insideH w:val="single" w:color="7ba0cd" w:themeColor="accent1" w:themeTint="0000BF" w:sz="8" w:space="0"/>
        <w:insideV w:val="single" w:color="7ba0cd" w:themeColor="accent1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3dfee" w:themeFill="accent1" w:themeFillTint="0000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0000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shd w:val="clear" w:color="auto" w:fill="a7bfde" w:themeFill="accent1" w:themeFillTint="0000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cf7b79" w:themeColor="accent2" w:themeTint="0000BF" w:sz="8" w:space="0"/>
        <w:left w:val="single" w:color="cf7b79" w:themeColor="accent2" w:themeTint="0000BF" w:sz="8" w:space="0"/>
        <w:bottom w:val="single" w:color="cf7b79" w:themeColor="accent2" w:themeTint="0000BF" w:sz="8" w:space="0"/>
        <w:right w:val="single" w:color="cf7b79" w:themeColor="accent2" w:themeTint="0000BF" w:sz="8" w:space="0"/>
        <w:insideH w:val="single" w:color="cf7b79" w:themeColor="accent2" w:themeTint="0000BF" w:sz="8" w:space="0"/>
        <w:insideV w:val="single" w:color="cf7b79" w:themeColor="accent2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fd3d2" w:themeFill="accent2" w:themeFillTint="0000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0000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shd w:val="clear" w:color="auto" w:fill="dfa7a6" w:themeFill="accent2" w:themeFillTint="0000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b3cc82" w:themeColor="accent3" w:themeTint="0000BF" w:sz="8" w:space="0"/>
        <w:left w:val="single" w:color="b3cc82" w:themeColor="accent3" w:themeTint="0000BF" w:sz="8" w:space="0"/>
        <w:bottom w:val="single" w:color="b3cc82" w:themeColor="accent3" w:themeTint="0000BF" w:sz="8" w:space="0"/>
        <w:right w:val="single" w:color="b3cc82" w:themeColor="accent3" w:themeTint="0000BF" w:sz="8" w:space="0"/>
        <w:insideH w:val="single" w:color="b3cc82" w:themeColor="accent3" w:themeTint="0000BF" w:sz="8" w:space="0"/>
        <w:insideV w:val="single" w:color="b3cc82" w:themeColor="accent3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6eed5" w:themeFill="accent3" w:themeFillTint="0000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0000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9f8ab9" w:themeColor="accent4" w:themeTint="0000BF" w:sz="8" w:space="0"/>
        <w:left w:val="single" w:color="9f8ab9" w:themeColor="accent4" w:themeTint="0000BF" w:sz="8" w:space="0"/>
        <w:bottom w:val="single" w:color="9f8ab9" w:themeColor="accent4" w:themeTint="0000BF" w:sz="8" w:space="0"/>
        <w:right w:val="single" w:color="9f8ab9" w:themeColor="accent4" w:themeTint="0000BF" w:sz="8" w:space="0"/>
        <w:insideH w:val="single" w:color="9f8ab9" w:themeColor="accent4" w:themeTint="0000BF" w:sz="8" w:space="0"/>
        <w:insideV w:val="single" w:color="9f8ab9" w:themeColor="accent4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fd8e8" w:themeFill="accent4" w:themeFillTint="0000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0000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shd w:val="clear" w:color="auto" w:fill="bfb1d0" w:themeFill="accent4" w:themeFillTint="0000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78c0d4" w:themeColor="accent5" w:themeTint="0000BF" w:sz="8" w:space="0"/>
        <w:left w:val="single" w:color="78c0d4" w:themeColor="accent5" w:themeTint="0000BF" w:sz="8" w:space="0"/>
        <w:bottom w:val="single" w:color="78c0d4" w:themeColor="accent5" w:themeTint="0000BF" w:sz="8" w:space="0"/>
        <w:right w:val="single" w:color="78c0d4" w:themeColor="accent5" w:themeTint="0000BF" w:sz="8" w:space="0"/>
        <w:insideH w:val="single" w:color="78c0d4" w:themeColor="accent5" w:themeTint="0000BF" w:sz="8" w:space="0"/>
        <w:insideV w:val="single" w:color="78c0d4" w:themeColor="accent5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2eaf1" w:themeFill="accent5" w:themeFillTint="0000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0000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shd w:val="clear" w:color="auto" w:fill="a5d5e2" w:themeFill="accent5" w:themeFillTint="0000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9b074" w:themeColor="accent6" w:themeTint="0000BF" w:sz="8" w:space="0"/>
        <w:left w:val="single" w:color="f9b074" w:themeColor="accent6" w:themeTint="0000BF" w:sz="8" w:space="0"/>
        <w:bottom w:val="single" w:color="f9b074" w:themeColor="accent6" w:themeTint="0000BF" w:sz="8" w:space="0"/>
        <w:right w:val="single" w:color="f9b074" w:themeColor="accent6" w:themeTint="0000BF" w:sz="8" w:space="0"/>
        <w:insideH w:val="single" w:color="f9b074" w:themeColor="accent6" w:themeTint="0000BF" w:sz="8" w:space="0"/>
        <w:insideV w:val="single" w:color="f9b074" w:themeColor="accent6" w:themeTint="0000BF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de4d0" w:themeFill="accent6" w:themeFillTint="0000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0000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shd w:val="clear" w:color="auto" w:fill="fbcaa2" w:themeFill="accent6" w:themeFillTint="0000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c0c0c0" w:themeFill="text1" w:themeFillTint="0000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0000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000033"/>
      </w:tc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3dfee" w:themeFill="accent1" w:themeFillTint="0000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0000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000033"/>
      </w:tc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fd3d2" w:themeFill="accent2" w:themeFillTint="0000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0000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000033"/>
      </w:tc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6eed5" w:themeFill="accent3" w:themeFillTint="0000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0000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000033"/>
      </w:tc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fd8e8" w:themeFill="accent4" w:themeFillTint="0000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0000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000033"/>
      </w:tc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2eaf1" w:themeFill="accent5" w:themeFillTint="0000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0000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000033"/>
      </w:tc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.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de4d0" w:themeFill="accent6" w:themeFillTint="0000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0000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000033"/>
      </w:tc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c0c0c0" w:themeFill="text1" w:themeFillTint="0000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0000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0000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3dfee" w:themeFill="accent1" w:themeFillTint="0000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0000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0000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fd3d2" w:themeFill="accent2" w:themeFillTint="0000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0000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0000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6eed5" w:themeFill="accent3" w:themeFillTint="0000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0000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0000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fd8e8" w:themeFill="accent4" w:themeFillTint="0000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0000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0000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2eaf1" w:themeFill="accent5" w:themeFillTint="0000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0000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0000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de4d0" w:themeFill="accent6" w:themeFillTint="0000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0000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0000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0000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0000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0000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0000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0000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0000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0000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0000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0000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0000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0000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0000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0000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0000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0000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0000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0000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0000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0000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0000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0000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0000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0000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0000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0000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0000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0000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0000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0000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0000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0000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0000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0000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0000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0000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6e6e6" w:themeFill="text1" w:themeFillTint="000019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0000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themeShade="000099" w:sz="4" w:space="0"/>
          <w:insideV w:val="nil" w:sz="0" w:space="0"/>
        </w:tcBorders>
        <w:shd w:val="clear" w:color="auto" w:fill="000000" w:themeFill="text1" w:themeFillShade="0000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0000BF"/>
      </w:tcPr>
    </w:tblStylePr>
    <w:tblStylePr w:type="band1Vert">
      <w:tblPr/>
      <w:tcPr>
        <w:shd w:val="clear" w:color="auto" w:fill="999999" w:themeFill="text1" w:themeFillTint="000066"/>
      </w:tcPr>
    </w:tblStylePr>
    <w:tblStylePr w:type="band1Horz">
      <w:tblPr/>
      <w:tcPr>
        <w:shd w:val="clear" w:color="auto" w:fill="808080" w:themeFill="text1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df2f8" w:themeFill="accent1" w:themeFillTint="000019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0000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themeShade="000099" w:sz="4" w:space="0"/>
          <w:insideV w:val="nil" w:sz="0" w:space="0"/>
        </w:tcBorders>
        <w:shd w:val="clear" w:color="auto" w:fill="2c4c74" w:themeFill="accent1" w:themeFillShade="0000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000099"/>
      </w:tcPr>
    </w:tblStylePr>
    <w:tblStylePr w:type="band1Vert">
      <w:tblPr/>
      <w:tcPr>
        <w:shd w:val="clear" w:color="auto" w:fill="b8cce4" w:themeFill="accent1" w:themeFillTint="000066"/>
      </w:tcPr>
    </w:tblStylePr>
    <w:tblStylePr w:type="band1Horz">
      <w:tblPr/>
      <w:tcPr>
        <w:shd w:val="clear" w:color="auto" w:fill="a7bfde" w:themeFill="accent1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8eded" w:themeFill="accent2" w:themeFillTint="000019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0000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themeShade="000099" w:sz="4" w:space="0"/>
          <w:insideV w:val="nil" w:sz="0" w:space="0"/>
        </w:tcBorders>
        <w:shd w:val="clear" w:color="auto" w:fill="772c2a" w:themeFill="accent2" w:themeFillShade="0000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000099"/>
      </w:tcPr>
    </w:tblStylePr>
    <w:tblStylePr w:type="band1Vert">
      <w:tblPr/>
      <w:tcPr>
        <w:shd w:val="clear" w:color="auto" w:fill="e5b8b7" w:themeFill="accent2" w:themeFillTint="000066"/>
      </w:tcPr>
    </w:tblStylePr>
    <w:tblStylePr w:type="band1Horz">
      <w:tblPr/>
      <w:tcPr>
        <w:shd w:val="clear" w:color="auto" w:fill="dfa7a6" w:themeFill="accent2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5f8ee" w:themeFill="accent3" w:themeFillTint="000019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0000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themeShade="000099" w:sz="4" w:space="0"/>
          <w:insideV w:val="nil" w:sz="0" w:space="0"/>
        </w:tcBorders>
        <w:shd w:val="clear" w:color="auto" w:fill="5e7530" w:themeFill="accent3" w:themeFillShade="0000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000099"/>
      </w:tcPr>
    </w:tblStylePr>
    <w:tblStylePr w:type="band1Vert">
      <w:tblPr/>
      <w:tcPr>
        <w:shd w:val="clear" w:color="auto" w:fill="d6e3bc" w:themeFill="accent3" w:themeFillTint="000066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2eff6" w:themeFill="accent4" w:themeFillTint="000019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0000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themeShade="000099" w:sz="4" w:space="0"/>
          <w:insideV w:val="nil" w:sz="0" w:space="0"/>
        </w:tcBorders>
        <w:shd w:val="clear" w:color="auto" w:fill="4c3b62" w:themeFill="accent4" w:themeFillShade="0000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000099"/>
      </w:tcPr>
    </w:tblStylePr>
    <w:tblStylePr w:type="band1Vert">
      <w:tblPr/>
      <w:tcPr>
        <w:shd w:val="clear" w:color="auto" w:fill="ccc0d9" w:themeFill="accent4" w:themeFillTint="000066"/>
      </w:tcPr>
    </w:tblStylePr>
    <w:tblStylePr w:type="band1Horz">
      <w:tblPr/>
      <w:tcPr>
        <w:shd w:val="clear" w:color="auto" w:fill="bfb1d0" w:themeFill="accent4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df6f9" w:themeFill="accent5" w:themeFillTint="000019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0000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themeShade="000099" w:sz="4" w:space="0"/>
          <w:insideV w:val="nil" w:sz="0" w:space="0"/>
        </w:tcBorders>
        <w:shd w:val="clear" w:color="auto" w:fill="276a7c" w:themeFill="accent5" w:themeFillShade="0000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000099"/>
      </w:tcPr>
    </w:tblStylePr>
    <w:tblStylePr w:type="band1Vert">
      <w:tblPr/>
      <w:tcPr>
        <w:shd w:val="clear" w:color="auto" w:fill="b6dde8" w:themeFill="accent5" w:themeFillTint="000066"/>
      </w:tcPr>
    </w:tblStylePr>
    <w:tblStylePr w:type="band1Horz">
      <w:tblPr/>
      <w:tcPr>
        <w:shd w:val="clear" w:color="auto" w:fill="a5d5e2" w:themeFill="accent5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ef4ec" w:themeFill="accent6" w:themeFillTint="000019"/>
    </w:tcPr>
    <w:tblStylePr w:type="firstRow">
      <w:rPr>
        <w:b w:val="1"/>
        <w:bCs w:val="1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0000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themeShade="000099" w:sz="4" w:space="0"/>
          <w:insideV w:val="nil" w:sz="0" w:space="0"/>
        </w:tcBorders>
        <w:shd w:val="clear" w:color="auto" w:fill="b65608" w:themeFill="accent6" w:themeFillShade="0000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000099"/>
      </w:tcPr>
    </w:tblStylePr>
    <w:tblStylePr w:type="band1Vert">
      <w:tblPr/>
      <w:tcPr>
        <w:shd w:val="clear" w:color="auto" w:fill="fbd4b4" w:themeFill="accent6" w:themeFillTint="000066"/>
      </w:tcPr>
    </w:tblStylePr>
    <w:tblStylePr w:type="band1Horz">
      <w:tblPr/>
      <w:tcPr>
        <w:shd w:val="clear" w:color="auto" w:fill="fbcaa2" w:themeFill="accent6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6e6e6" w:themeFill="text1" w:themeFillTint="0000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0000CC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00003F"/>
      </w:tcPr>
    </w:tblStylePr>
    <w:tblStylePr w:type="band1Horz">
      <w:tblPr/>
      <w:tcPr>
        <w:shd w:val="clear" w:color="auto" w:fill="cccccc" w:themeFill="text1" w:themeFillTint="0000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df2f8" w:themeFill="accent1" w:themeFillTint="0000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0000CC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00003F"/>
      </w:tcPr>
    </w:tblStylePr>
    <w:tblStylePr w:type="band1Horz">
      <w:tblPr/>
      <w:tcPr>
        <w:shd w:val="clear" w:color="auto" w:fill="dbe5f1" w:themeFill="accent1" w:themeFillTint="0000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8eded" w:themeFill="accent2" w:themeFillTint="0000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0000CC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00003F"/>
      </w:tcPr>
    </w:tblStylePr>
    <w:tblStylePr w:type="band1Horz">
      <w:tblPr/>
      <w:tcPr>
        <w:shd w:val="clear" w:color="auto" w:fill="f2dbdb" w:themeFill="accent2" w:themeFillTint="0000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5f8ee" w:themeFill="accent3" w:themeFillTint="0000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0000CC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00003F"/>
      </w:tcPr>
    </w:tblStylePr>
    <w:tblStylePr w:type="band1Horz">
      <w:tblPr/>
      <w:tcPr>
        <w:shd w:val="clear" w:color="auto" w:fill="eaf1dd" w:themeFill="accent3" w:themeFillTint="0000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2eff6" w:themeFill="accent4" w:themeFillTint="0000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0000CC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00003F"/>
      </w:tcPr>
    </w:tblStylePr>
    <w:tblStylePr w:type="band1Horz">
      <w:tblPr/>
      <w:tcPr>
        <w:shd w:val="clear" w:color="auto" w:fill="e5dfec" w:themeFill="accent4" w:themeFillTint="0000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df6f9" w:themeFill="accent5" w:themeFillTint="0000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0000CC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00003F"/>
      </w:tcPr>
    </w:tblStylePr>
    <w:tblStylePr w:type="band1Horz">
      <w:tblPr/>
      <w:tcPr>
        <w:shd w:val="clear" w:color="auto" w:fill="daeef3" w:themeFill="accent5" w:themeFillTint="0000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ef4ec" w:themeFill="accent6" w:themeFillTint="0000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0000CC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00003F"/>
      </w:tcPr>
    </w:tblStylePr>
    <w:tblStylePr w:type="band1Horz">
      <w:tblPr/>
      <w:tcPr>
        <w:shd w:val="clear" w:color="auto" w:fill="fde9d9" w:themeFill="accent6" w:themeFillTint="0000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cccccc" w:themeFill="text1" w:themeFillTint="000033"/>
    </w:tcPr>
    <w:tblStylePr w:type="firstRow">
      <w:rPr>
        <w:b w:val="1"/>
        <w:bCs w:val="1"/>
      </w:rPr>
      <w:tblPr/>
      <w:tcPr>
        <w:shd w:val="clear" w:color="auto" w:fill="999999" w:themeFill="text1" w:themeFillTint="0000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0000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0000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0000BF"/>
      </w:tc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shd w:val="clear" w:color="auto" w:fill="808080" w:themeFill="text1" w:themeFillTint="0000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be5f1" w:themeFill="accent1" w:themeFillTint="000033"/>
    </w:tcPr>
    <w:tblStylePr w:type="firstRow">
      <w:rPr>
        <w:b w:val="1"/>
        <w:bCs w:val="1"/>
      </w:rPr>
      <w:tblPr/>
      <w:tcPr>
        <w:shd w:val="clear" w:color="auto" w:fill="b8cce4" w:themeFill="accent1" w:themeFillTint="0000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0000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0000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0000BF"/>
      </w:tc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shd w:val="clear" w:color="auto" w:fill="a7bfde" w:themeFill="accent1" w:themeFillTint="0000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2dbdb" w:themeFill="accent2" w:themeFillTint="000033"/>
    </w:tcPr>
    <w:tblStylePr w:type="firstRow">
      <w:rPr>
        <w:b w:val="1"/>
        <w:bCs w:val="1"/>
      </w:rPr>
      <w:tblPr/>
      <w:tcPr>
        <w:shd w:val="clear" w:color="auto" w:fill="e5b8b7" w:themeFill="accent2" w:themeFillTint="0000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0000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0000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0000BF"/>
      </w:tc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shd w:val="clear" w:color="auto" w:fill="dfa7a6" w:themeFill="accent2" w:themeFillTint="0000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af1dd" w:themeFill="accent3" w:themeFillTint="000033"/>
    </w:tcPr>
    <w:tblStylePr w:type="firstRow">
      <w:rPr>
        <w:b w:val="1"/>
        <w:bCs w:val="1"/>
      </w:rPr>
      <w:tblPr/>
      <w:tcPr>
        <w:shd w:val="clear" w:color="auto" w:fill="d6e3bc" w:themeFill="accent3" w:themeFillTint="0000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0000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0000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0000BF"/>
      </w:tc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e5dfec" w:themeFill="accent4" w:themeFillTint="000033"/>
    </w:tcPr>
    <w:tblStylePr w:type="firstRow">
      <w:rPr>
        <w:b w:val="1"/>
        <w:bCs w:val="1"/>
      </w:rPr>
      <w:tblPr/>
      <w:tcPr>
        <w:shd w:val="clear" w:color="auto" w:fill="ccc0d9" w:themeFill="accent4" w:themeFillTint="0000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0000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0000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0000BF"/>
      </w:tc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shd w:val="clear" w:color="auto" w:fill="bfb1d0" w:themeFill="accent4" w:themeFillTint="0000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daeef3" w:themeFill="accent5" w:themeFillTint="000033"/>
    </w:tcPr>
    <w:tblStylePr w:type="firstRow">
      <w:rPr>
        <w:b w:val="1"/>
        <w:bCs w:val="1"/>
      </w:rPr>
      <w:tblPr/>
      <w:tcPr>
        <w:shd w:val="clear" w:color="auto" w:fill="b6dde8" w:themeFill="accent5" w:themeFillTint="0000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0000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0000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0000BF"/>
      </w:tc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shd w:val="clear" w:color="auto" w:fill="a5d5e2" w:themeFill="accent5" w:themeFillTint="0000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val="single" w:color="ffffff" w:themeColor="background1" w:sz="4" w:space="0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val="clear" w:color="auto" w:fill="fde9d9" w:themeFill="accent6" w:themeFillTint="000033"/>
    </w:tcPr>
    <w:tblStylePr w:type="firstRow">
      <w:rPr>
        <w:b w:val="1"/>
        <w:bCs w:val="1"/>
      </w:rPr>
      <w:tblPr/>
      <w:tcPr>
        <w:shd w:val="clear" w:color="auto" w:fill="fbd4b4" w:themeFill="accent6" w:themeFillTint="0000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0000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0000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0000BF"/>
      </w:tc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shd w:val="clear" w:color="auto" w:fill="fbcaa2" w:themeFill="accent6" w:themeFillTint="00007F"/>
      </w:tcPr>
    </w:tblStylePr>
  </w:style>
  <w:style w:type="paragraph" w:styleId="Subtitle">
    <w:name w:val="Subtitle"/>
    <w:basedOn w:val="Normal"/>
    <w:next w:val="Normal"/>
    <w:pPr/>
    <w:rPr>
      <w:rFonts w:ascii="Calibri" w:hAnsi="Calibri" w:eastAsia="Calibri" w:cs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3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4.xml" Id="rId11" /><Relationship Type="http://schemas.openxmlformats.org/officeDocument/2006/relationships/styles" Target="styles.xml" Id="rId5" /><Relationship Type="http://schemas.openxmlformats.org/officeDocument/2006/relationships/customXml" Target="../customXML/item3.xml" Id="rId10" /><Relationship Type="http://schemas.openxmlformats.org/officeDocument/2006/relationships/numbering" Target="numbering.xml" Id="rId4" /><Relationship Type="http://schemas.openxmlformats.org/officeDocument/2006/relationships/customXml" Target="../customXML/item2.xml" Id="rId9" /><Relationship Type="http://schemas.openxmlformats.org/officeDocument/2006/relationships/hyperlink" Target="https://github.com/rmusab/vul-llm-finetune/tree/main/Datasets" TargetMode="External" Id="Rfcf86db7c96d41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TA3ZHiGPUOnx+rLMODt9LZBU0Q==">CgMxLjA4AHIhMWxqbnZELTZrNlJMckZFdjV4bmMxb2NWdFVzMHhOd1FI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7" ma:contentTypeDescription="Создание документа." ma:contentTypeScope="" ma:versionID="db3bf1dfe288ab2e1e37e39f0db4dc9f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730138810fcc4d5d49a1e5fbcf8ca14d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B50A6BF-84A0-4B2C-988C-961BCAB51EE5}"/>
</file>

<file path=customXML/itemProps3.xml><?xml version="1.0" encoding="utf-8"?>
<ds:datastoreItem xmlns:ds="http://schemas.openxmlformats.org/officeDocument/2006/customXml" ds:itemID="{0898C209-5725-4A5B-8DE5-70EB9AC47770}"/>
</file>

<file path=customXML/itemProps4.xml><?xml version="1.0" encoding="utf-8"?>
<ds:datastoreItem xmlns:ds="http://schemas.openxmlformats.org/officeDocument/2006/customXml" ds:itemID="{C3BC8F17-6AAE-4494-8AC3-5FCAB8FE1EF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Aruzhan Ardak</cp:lastModifiedBy>
  <dcterms:created xsi:type="dcterms:W3CDTF">2013-12-23T23:15:00Z</dcterms:created>
  <dcterms:modified xsi:type="dcterms:W3CDTF">2026-10-09T15:24:16Z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