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Uniform Limited Liability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Act; to amend section 21-193,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notice;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to create a web page for notices; to charge a fee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electronic publication of notices;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21-193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of organization, amendment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organization, merger, conversion, or domestication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three successive weeks in some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near the designated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Electronically published on the web page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notice of organization must show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(b) of section 21-117 to be stated in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brief resume of any amendment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of any merger, conversion, or domestication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be published in the same manner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period of time as notice of organization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Secretary of State shall establish and maintain an easy-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to-use and publicly accessible web page on the Secretary of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for the electronic publication of notices of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of the certificate of organization, merger, conversion,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domestication of limited liability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web page shall allow members of the public to view, 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retrieve published notices at no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Secretary of State shall collect a fee of twenty dollars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a notice is published on the web page from the publisher.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shall retain an amount of such fees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 the administrative costs incurred by the Secretary of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developing, operating, and maintaining the web page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 The Secretary of State shall remit the remaining balance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 to the State Treasurer. The State Treasurer shall credit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balance of the fees to the Innovation Hub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Secretary of State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any limited liability company is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dissolved, notice of the dissolution shall be published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Proof of publication of any of the notices shall be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State. In the event any notice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 and required to be given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is not given, but is subsequently published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required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proof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thereof is filed in the office of the Secretary of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of the limited liability company prior to, as well as after,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shall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21-193,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