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Cavanaugh, J., 9;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Livestock Waste Management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54-2416,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requirements for registering a nutrient management plan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of livestock waste or litter as provided;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54-2416,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54-2416 Sections 54-2416 to 54-2438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Livestock Waste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large concentrated animal feeding operation,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40 C.F.R. 122.23,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shall register its nutrient management plan with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update its plan annually thereafter. The plan and any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shall be made publicly available on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any acres where livestock waste or litter is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 nutrient management plan, cover crops shall be planted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application unless the field has perennial cover crops.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 and maintenance for such cover crops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implementing the nutrient management plan. When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possible, the entity implementing the nutrient management plan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regenerative agricultural practices which minimize tillage,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living roots systems, armor the soil with increased plant matter 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up, increase bio-diversity, integrate livestock grazing systems,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and restore a region's native ecosystem.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any acres where livestock waste or litter is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adjacent to a running waterway pursuant to a nutrient management plan,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thirty-foot perennial-grass buffer shall be established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between the area of application and the waterway.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 and maintenance for such buffer shall be paid by the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implementing the nutrient management plan. The entity implementing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nutrient management plan shall also annually compensate the landowner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buffer for production losses on such buffered acres prices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54-2416,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