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1031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Dorn, 30.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Hospital Quality Assurance and Access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Assessment Fund; to require appropriations; and to state intent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rates.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LB1031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Legislature shall appropriate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for fiscal year 2025-26 and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 for fiscal year 2026-27 from the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Quality Assurance and Access Assessment Fund to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 for the medical assistance program to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reimbursement to mental health providers who do not practice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hospital and who provide behavioral health services to medicaid-eligible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participants who are dually eligible beneficiaries that are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both medicaid and medicare. For dual eligible recipients, the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medicaid or medicare rate shall be paid for behavioral health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sustain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rates for mental health providers serving medicaid-eligible participants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are dually eligible beneficiaries that are eligible for both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medicare and who are receiving behavioral health services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assistance program.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