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1042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Uninsured and Underinsured Motorist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Coverage Act; to amend sections 44-6410 and 44-6411,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stacking of coverage;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44-6410,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44-6410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Regardless of the number of vehicles involved,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covered, claims made, vehicles or premiums shown on the policy,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paid, the limits of liability for uninsured or underinsured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motorist coverage for two or more motor vehicles insured under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policy or separate policies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held by the same person or by related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residing in the same household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added together, combined,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stacked to determine the limit of insurance coverage available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injured person for any one accident except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44-6411.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Regardless of the insurance policy language, the limits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for uninsured or underinsured motorist coverage for two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vehicles insured under separate policies held by different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policyholders who are not related persons residing in the same household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added together, combined, or stacked to determine the limit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coverage available to an injured person for any one accident.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44-6411,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44-6411 (1) In the event an insured is entitled to uninsured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underinsured motorist coverage under more than one policy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liability insurance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held by the same person or by related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residing in the same household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maximum amount an insured may recover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the highest limit of any one such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the event of bodily injury, sickness, disease, or death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 while occupying a motor vehicle not owned by the insured,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in the following order of priority,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in subsection (1)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if applicable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uninsured or underinsured motorist coverage on the occupied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primary; and (b) if such primary coverage is exhausted,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uninsured or underinsured motorist coverage available to the insured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event an injured person is entitled to coverage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than one policy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 multiple policies apply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payment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following order of priority, subject to the limit of liability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applicable policy: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policy covering a motor vehicle occupied by the injured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time of the accident;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policy covering a motor vehicle which causes bodily injury,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sickness, disease, or death of the insured while a pedestrian;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policy covering a motor vehicle not involved in the accident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which the injured person is an insured.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44-6410 and 44-6411,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