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legislation; to amend section 84-906.03,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the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to prepare economic impact reports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Secretary of State to provide an annual report of rules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regulatory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the adoption, promulgation, amendment, or withdrawal of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as defined in section 84-901.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Along with a fiscal note, the Legislative Fiscal Analyst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 and submit an economic impact report to the appropriate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Legislature, for any legislative bill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require, as the result of being signed into law, regulatory action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as defined in section 84-901.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economic impact report shall include a cost benefit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estimated primary or direct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estimated cost savings or financial benefits to society;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estimated number of businesses or other entities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regulatory action will apply;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identity of any localities and types of businesses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 that will be particularly affected by the regulatory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estimated compliance costs for regulated entities,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for affected businesses, localities, or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estimated impact on the use and value of private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additional costs related to the development of real estate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or residential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estimated effect on state expenditures, including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estimated secondary or indirect costs;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Key assumptions and sources of uncertainty.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State agencies shall cooperate with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Analyst by providing any information relevant to the economic impact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84-906.03,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84-906.03 It shall be the duty of the Secretary of State: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establish and cause to be compiled, indexed by subject,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 codification system for all rules and regulations filed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the Nebraska Administrative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cause the Nebraska Administrative Code to be computerized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agencies in revision of their rules and regulations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research capabilities;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post a current copy of existing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by the Secretary of State as filed on the website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State; to distribute a current copy of any existing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as accepted by the Secretary of State as filed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on request at a price fixed to cover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printing, handling, and mailing; and to distribute, on a regular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of any or all modifications or amendments to agency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accepted by the Secretary of State as filed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interested persons on request at a price fixed to cover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printing, handling, and mailing;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remit fees collected pursuant to this section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Secretary of State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create and submit to the Clerk of the Legislature at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each calendar year, a report, indexed by agency, including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new and amended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84-906.03,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