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20; Clouse, 37; Hunt, 8; Storer, 43; Strommen,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Legislature; to require members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complete a civics assessment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civics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civics portion of the United States Naturalization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United States Citizenship and Immigration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Homeland Security or an equivalent test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of State or the State Department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ninety days after taking the oath of office,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shall complete the civics assessment.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shall provide the civics assessment that includes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questions randomly selected. The score shall be calculated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correct answers out of the twenty questions selected.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Completion of the assessment is required, but passage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required. Completion or results of the civics assessment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ability of any member of the Legislature to assume, hold, or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office. This section shall not be construed to add to or alter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for office established in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Clerk of the Legislature shall be the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for the civics assessment and shall certify the raw score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member of the Legislature to the individual member.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 responses shall remain confidential.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Clerk of the Legislature shall publish the raw score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on the official website of the Legislature. The score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included in the member's official public biography.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member who does not achieve a passing score on the civics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shall be invited, but not required, to attend a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civic literacy seminar conducted by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Legislative Research Office.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