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1113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22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Quick, 35; 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Community Development Law;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18-2147,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notices for dividing ad valorem taxes;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18-2147,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18-2147 (1) Any redevelopment plan as originally approved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modified pursuant to section 18-2117 may contain a provision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ad valorem tax levied upon real property, or any portion thereof,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redevelopment project for the benefit of any public body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divided, for the applicable period described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portion of the ad valorem tax which is produced by the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rate fixed each year by or for each such public body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valuation shall be paid into the funds of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 in the same proportion as are all other taxes collected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body. When there is not a redevelopment project valuation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 or parcels, the county assessor shall determine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valuation based upon the fair market valuation of the parcel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parcels as of January 1 of the year prior to the year that the ad valorem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are to be divided. The county assessor shall provide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redevelopment project valuation to the authority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18-2103 and the owner. The authority or owner may protest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to the county board of equalization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the valuation notice. All provisions of section 77-1502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dates for filing of a protest, the period for hearing protests,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date for mailing notice of the county board of equalization's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are applicable to any protest filed pursuant to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equalization shall decide any protest filed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within thirty days after the filing of the protest.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mail a copy of the decision made by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equalization on protests pursuant to this section to the authority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within seven days after the board's decision. Any decision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equalization may be appealed to the Tax Equalization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Commission, in accordance with section 77-5013, within thirty days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decision;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portion of the ad valorem tax on real property,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redevelopment contract, bond resolution, or redevelopment plan,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in the redevelopment project in excess of such amount,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shall be allocated to and, when collected, paid into a special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authority to be used solely to pay the principal of,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on, and any premiums due in connection with the bonds of, loans, notes,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advances of money to, or indebtedness incurred by, whether funded,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refunded, assumed, or otherwise, such authority for financing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refinancing, in whole or in part, the redevelopment project.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bonds, loans, notes, advances of money, or indebtedness,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and premiums due, have been paid, the authority shall so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and county treasurer and all ad valorem taxes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real property in such a redevelopment project shall be paid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of the respective public bodies. An authority may use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purposes of this subdivision for all redevelopment projects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use a separate fund for each redevelopment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interest and penalties due for delinquent taxes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into the funds of each public body in the same proportion as are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taxes collected by or for the public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the extent that a redevelopment plan authorizes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 valorem taxes levied upon only a portion of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such redevelopment plan, any improvements funded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taxes shall be related to the redevelopment plan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such division of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 any redevelopment plan located 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that includes a division of taxes,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that produces, in whole or in part, funds to be used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for (i) new construction, rehabilitation, 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for households with annual incomes below the area median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households and located within six hundred yards of a public passenger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streetcar or (ii) new construction, rehabilitation, 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single-family housing or condominium housing used as primary residences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individuals with annual incomes below the area median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such housing shall be deemed related to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that authorized such division of taxes regardless of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is or will be located on real property within such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as long as such housing supports activities occurring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in such redevelopment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During each fiscal year in which the funds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are available, the authority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best efforts to allocate not less than thirty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single-family housing deemed related to the redevelopment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under such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selecting projects to receive funding, the authority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develop a qualified allocation plan and give first priority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financially viable projects that serve the lowest income occupants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longest period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For any redevelopment plan for which more than fifty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in the redevelopment project area has been declared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extremely blighted area in accordance with section 18-2101.02, ad valorem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shall be divided for a period not to exceed twenty years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as identified in the project redevelopment contract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resolution of the authority authorizing the issuance of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18-2124.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other redevelopment plans, ad valorem taxes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for a period not to exceed fifteen years after the effective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identified in the project redevelopment contract, in the resolution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 authorizing the issuance of bonds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18-2124, or in the redevelopment plan, whichever is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effective date of a provision dividing ad valorem taxes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(4) of this section shall not occur until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as the real property in the redevelopment project is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boundaries of the city. This subsection shall not apply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involving a formerly used defense site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section 18-2123.01.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All notices of the provision for dividing ad valorem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sent by the authority to the county assessor on forms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Administrator. The notice shall be sent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assessor on or before July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year of the effective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provision. Failure to satisfy the notice requirement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result in the taxes, for all taxable years affected by the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give notice of the effective date of the provision,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undivided and being paid into the funds for each public body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generated by the property in the redevelopment project.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However, the redevelopment project valuation for the remaining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 valorem taxes in accordance with subdivisions (1)(a) and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the last certified valuation for the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effective date of the provision to divide the taxes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portion of the twenty-year or fifteen-year period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18-2147,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