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1126A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1126,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$675,000 from the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 Fund for FY2026-27 and (2) $1,350,000 from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Fund for FY2027-28 to the Public Service Commission,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583, to aid in carrying out the provisions of Legislative Bill 1126,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