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1136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Political Subdivisions Tort Claims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13-905,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political subdivisions to identify authorized recipients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tort claims; to provide for tolling of certain deadlines;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13-905,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13-905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tort claims under the Political Subdivisions Tort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Act and sections 16-727, 16-728, 23-175, 39-809, and 79-610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filed with the clerk, secretary, or other official whose duty it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the official records of the political subdivision,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a political subdivision may provide that such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filed with the duly constituted law department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 political subdivision shall maintain on the home page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website a notice describing the official or law department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receive such claims. The notice shall identify the official or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by name and title and provide a mailing address.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filing of a claim with the official or law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identified on such website shall constitute substantial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failure of a political subdivision to maintain accurate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up-to-date information as required by this subsection shall toll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deadline for making a claim in writing and the deadline for bringing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suit under sections 13-919 and 13-920.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shall be the duty of the official with whom the claim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to present the claim to the governing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such claims shall be in writing and shall set forth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place of the occurrence giving rise to the claim and such other facts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pertinent to the claim as are known to the claimant.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13-905,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