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 Tax Growth Limitation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13-3403,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calculation of property tax request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13-3403,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13-3403 (1) Except as otherwise provided in the Property Tax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Act, for fiscal years beginning on or after July 1, 2025,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any year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its property tax request authority as determined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preliminary property tax request authority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be the amount of property taxes requested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each political subdivision and included on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filed with the auditor in the prior fiscal year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section 13-506, less the sum of exceptions utilized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pursuant to subdivisions (1)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(2), (4), (5), (6),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of section 13-3404.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preliminary property tax request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political subdivision's property tax request authority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product of (i)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(1) and (2) of section 13-3404,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growth percentage;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product of (i) the amount of property taxes levied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less the sum of exceptions utilized in the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(1) and (2) of section 13-3404, and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zero or the inflation percentage.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13-3403,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