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Political Subdivisions Tort Claims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13-901,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certain claims under the act;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13-901 Sections 13-901 to 13-928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Political Subdivisions Tort Claims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sewer system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 system that is owned and operated by a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private residence or other building is damaged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 system backup caused by the negligent act or omission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political subdivision that operates the sewer system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hired by such political subdivision and the amount of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known and not in dispute, the owner of the private residence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may file a claim under the Political Subdivisions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governing body of the political subdivision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within ninety days after the date of 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negligent act or omission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was committed by a contractor of a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political subdivision may bring an action for recovery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13-901,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