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 care; to create the Child Care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be administered by the Department of Health and Human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prescribed; and to state legislative intent.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Child Care Cash Fund is a permanent tool to reinforce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state's workforce, strengthen economic growth, and support families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sustained investment in the state's child care system.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foundational economic infrastructure and that long-term, reliable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 is essential to the state's ability to attract, retain,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a stable workforce;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Access to the child care subsidy is a key driver of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participation, family stability, and positive outcomes for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across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Child Care Cash Fund shall be primarily dedicated to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preserving access to the child care subsidy for eligible working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families, (b) supporting continuity and stability in child care for young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children, and (c) ensuring the long-term viability of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providers in both urban and rural communities.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Child Care Cash Fund is created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Department of Health and Human Services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 of transfers authorized by the Legislature from the General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gifts, grants, or donations for the purposes of the fund,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funds as directed by the Legislature. Any money in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Child Care Cash Fund shall be used for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subsidy program including: (a) Ensuring continuity of care for families;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making timely payments to child care providers; (c)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reimbursement rates sufficient to promote provider stability and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care; (d) administrative costs necessary to operate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subsidy program; (e) quality improvement and workforce supports for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providers; and (f) other child care uses as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fund shall not be used to supplant the state's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match for the child care subsidy.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appropriate XXX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Cash Fund annually for the purposes described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department shall electronically submit an annual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that includes: (a) Amounts credited to, and expended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from, the Child Care Cash Fund; (b) the monthly number of families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 served by the child care subsidy by income eligibility level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eligibility reason; (c) the number of child care subsidy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received, accepted, and denied per month; (d) for denied applications,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reason for denial; and (e) the number of pending child care subsidy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per month.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