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counties; to provide for the treatment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uncashed checks issued by counties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county treasurer and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a list of checks issued by his or her office that 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uncashed after two years, including the amount of the check and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person to whom the check was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such check for an amount of less than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void three years after the date of its issuance and shall cease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an obligation of the county at such time. Such check may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presented to the county board of such county which may 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for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check that is void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charged off upon the books of the county,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shall credit the money, including any interest thereon,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of such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check that is void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cease to be intangible personal property held for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not be subject to the Uniform Disposition of Unclaimed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