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1221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Medical Assistance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68-901,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definitions relating to community engagement and work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68-901 Sections 68-901 to 68-9,111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Medical 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implementing and administering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Big Beautiful Bill Act, Public Law 119-21, as such act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2026, the department shall adopt the following definitions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community engagement or work requirements for individuals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experience a short-term hardship event: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Extended period of time means (a) one or more overnight stays,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repeated travel of two or more trips, or (c) sustained absence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individual's residence that reasonably interferes with the 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 community engagement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Inpatient hospital services means services provided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who is admitted as an inpatient to a hospital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physician or other health care provider order, consistent with 42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412.3. Inpatient hospital services are deemed to occur beginning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admission, regardless of length of stay, and include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outpatient, observation, diagnostic, recovery, or follow-up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related to such admission;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Outside of the individual's community means travel outside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individual's county of residence;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Serious or complex medical condition means an individual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or more of the conditions described in 42 C.F.R. 440.315,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condition for which medicaid coverage is medically 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