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1253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tax sale certificates;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77-1837.01,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applicability of laws;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77-1837.01,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77-1837.01 (1) Except as otherwise provided in subsections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 laws in effect on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a tax sale certificate govern all matters related to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proceedings, including noticing and application, and foreclosure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proceedings. Changes in law shall not apply retroactively with regard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sale certificates previously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Tax sale certificates sold and issued between January 1, 2010,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December 31, 2016, shall be governed by the laws and statutes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in effect on December 31, 2009, with regard to all matters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tax deed proceedings, including noticing and application,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foreclosure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Tax sale certificates sold and issued between January 1, 2017,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September 7, 2019, shall be governed by the laws and statutes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in effect on September 7, 2019, with regard to all matters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tax deed proceedings, including noticing and application,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foreclosure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Tax sale certificates that are foreclosed upon,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issuance, shall be governed by section 77-1909,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in effect on May 7, 2025, with regard to the matters addressed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77-1837.01,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